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lang w:val="en-US"/>
        </w:rPr>
      </w:pPr>
      <w:r>
        <w:rPr>
          <w:rFonts w:hint="eastAsia" w:ascii="宋体" w:hAnsi="宋体" w:eastAsia="宋体" w:cs="宋体"/>
          <w:b/>
          <w:bCs/>
          <w:color w:val="auto"/>
          <w:sz w:val="52"/>
          <w:szCs w:val="52"/>
          <w:highlight w:val="none"/>
          <w:lang w:val="en-US" w:eastAsia="zh-CN"/>
        </w:rPr>
        <w:t>淮北市人社局物业管理服务项目</w:t>
      </w: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lang w:eastAsia="zh-CN"/>
        </w:rPr>
      </w:pPr>
      <w:bookmarkStart w:id="121" w:name="_GoBack"/>
      <w:bookmarkEnd w:id="121"/>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lang w:eastAsia="zh-CN"/>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竞争性磋商文件（服务类）</w:t>
      </w:r>
    </w:p>
    <w:bookmarkEnd w:id="0"/>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315"/>
          <w:tab w:val="left" w:pos="8820"/>
        </w:tabs>
        <w:spacing w:beforeLines="100" w:afterLines="50" w:line="500" w:lineRule="exact"/>
        <w:ind w:right="267" w:rightChars="127"/>
        <w:jc w:val="center"/>
        <w:rPr>
          <w:rFonts w:hint="eastAsia" w:ascii="宋体" w:hAnsi="宋体" w:eastAsia="宋体" w:cs="宋体"/>
          <w:b/>
          <w:bCs/>
          <w:color w:val="auto"/>
          <w:sz w:val="44"/>
          <w:szCs w:val="44"/>
          <w:highlight w:val="none"/>
        </w:rPr>
      </w:pPr>
    </w:p>
    <w:p>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rPr>
        <w:t xml:space="preserve"> </w:t>
      </w:r>
      <w:r>
        <w:rPr>
          <w:rFonts w:hint="eastAsia" w:ascii="宋体" w:hAnsi="宋体" w:eastAsia="宋体" w:cs="宋体"/>
          <w:b/>
          <w:color w:val="auto"/>
          <w:spacing w:val="20"/>
          <w:kern w:val="0"/>
          <w:sz w:val="32"/>
          <w:szCs w:val="32"/>
          <w:highlight w:val="none"/>
          <w:u w:val="single"/>
          <w:lang w:val="en-US" w:eastAsia="zh-CN"/>
        </w:rPr>
        <w:t>淮北市人社局物业管理服务项目</w:t>
      </w:r>
    </w:p>
    <w:p>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rPr>
        <w:t xml:space="preserve"> </w:t>
      </w:r>
      <w:r>
        <w:rPr>
          <w:rFonts w:hint="eastAsia" w:ascii="宋体" w:hAnsi="宋体" w:eastAsia="宋体" w:cs="宋体"/>
          <w:b/>
          <w:color w:val="auto"/>
          <w:spacing w:val="20"/>
          <w:kern w:val="0"/>
          <w:sz w:val="32"/>
          <w:szCs w:val="32"/>
          <w:highlight w:val="none"/>
          <w:u w:val="single"/>
          <w:lang w:val="en-US" w:eastAsia="zh-CN"/>
        </w:rPr>
        <w:t>AHHX-2025-069</w:t>
      </w:r>
      <w:r>
        <w:rPr>
          <w:rFonts w:hint="eastAsia" w:ascii="宋体" w:hAnsi="宋体" w:eastAsia="宋体" w:cs="宋体"/>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eastAsia="zh-CN"/>
        </w:rPr>
        <w:t>淮北市人力资源和社会保障局</w:t>
      </w:r>
    </w:p>
    <w:p>
      <w:pPr>
        <w:tabs>
          <w:tab w:val="left" w:pos="2410"/>
        </w:tabs>
        <w:autoSpaceDE w:val="0"/>
        <w:autoSpaceDN w:val="0"/>
        <w:adjustRightInd w:val="0"/>
        <w:snapToGrid w:val="0"/>
        <w:spacing w:line="360" w:lineRule="auto"/>
        <w:ind w:firstLine="723" w:firstLineChars="200"/>
        <w:rPr>
          <w:rFonts w:hint="eastAsia" w:ascii="宋体" w:hAnsi="宋体" w:eastAsia="宋体" w:cs="宋体"/>
          <w:b/>
          <w:bCs/>
          <w:color w:val="auto"/>
          <w:sz w:val="44"/>
          <w:szCs w:val="44"/>
          <w:highlight w:val="none"/>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安徽鹄翔建设项目管理有限公司</w:t>
      </w:r>
      <w:r>
        <w:rPr>
          <w:rFonts w:hint="eastAsia" w:ascii="宋体" w:hAnsi="宋体" w:eastAsia="宋体" w:cs="宋体"/>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2025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lang w:val="en-US" w:eastAsia="zh-CN"/>
        </w:rPr>
        <w:t xml:space="preserve">9 </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月</w:t>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"_Toc19988"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第一章  磋商邀请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"_Toc8668"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第四章  评审方法和标准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_Toc8668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"_Toc17167"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第五章  政府采购合同</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24</w:t>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"_Toc25148"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第六章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_Toc25148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5"/>
        <w:tabs>
          <w:tab w:val="right" w:leader="dot" w:pos="8279"/>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"_Toc19418"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第七章  政府采购</w:t>
      </w:r>
      <w:r>
        <w:rPr>
          <w:rFonts w:hint="eastAsia" w:ascii="宋体" w:hAnsi="宋体" w:eastAsia="宋体" w:cs="宋体"/>
          <w:color w:val="auto"/>
          <w:highlight w:val="none"/>
        </w:rPr>
        <w:t>供应</w:t>
      </w:r>
      <w:r>
        <w:rPr>
          <w:rFonts w:hint="eastAsia" w:ascii="宋体" w:hAnsi="宋体" w:eastAsia="宋体" w:cs="宋体"/>
          <w:bCs/>
          <w:color w:val="auto"/>
          <w:highlight w:val="none"/>
        </w:rPr>
        <w:t>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6"/>
        <w:tabs>
          <w:tab w:val="right" w:leader="dot" w:pos="8296"/>
        </w:tabs>
        <w:rPr>
          <w:rFonts w:hint="eastAsia" w:ascii="宋体" w:hAnsi="宋体" w:eastAsia="宋体" w:cs="宋体"/>
          <w:b/>
          <w:color w:val="auto"/>
          <w:sz w:val="32"/>
          <w:highlight w:val="none"/>
        </w:rPr>
      </w:pPr>
      <w:r>
        <w:rPr>
          <w:rFonts w:hint="eastAsia" w:ascii="宋体" w:hAnsi="宋体" w:eastAsia="宋体" w:cs="宋体"/>
          <w:bCs/>
          <w:color w:val="auto"/>
          <w:szCs w:val="24"/>
          <w:highlight w:val="none"/>
        </w:rPr>
        <w:fldChar w:fldCharType="end"/>
      </w:r>
    </w:p>
    <w:p>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pPr>
        <w:spacing w:line="360" w:lineRule="auto"/>
        <w:jc w:val="center"/>
        <w:outlineLvl w:val="0"/>
        <w:rPr>
          <w:rFonts w:hint="eastAsia" w:ascii="宋体" w:hAnsi="宋体" w:eastAsia="宋体" w:cs="宋体"/>
          <w:b/>
          <w:color w:val="auto"/>
          <w:sz w:val="28"/>
          <w:highlight w:val="none"/>
        </w:rPr>
      </w:pPr>
      <w:bookmarkStart w:id="1" w:name="_Toc501"/>
      <w:bookmarkStart w:id="2" w:name="_Toc19988"/>
      <w:r>
        <w:rPr>
          <w:rFonts w:hint="eastAsia" w:ascii="宋体" w:hAnsi="宋体" w:eastAsia="宋体" w:cs="宋体"/>
          <w:b/>
          <w:color w:val="auto"/>
          <w:sz w:val="28"/>
          <w:highlight w:val="none"/>
        </w:rPr>
        <w:t>第一章  磋商邀请</w:t>
      </w:r>
      <w:bookmarkEnd w:id="1"/>
      <w:bookmarkEnd w:id="2"/>
    </w:p>
    <w:p>
      <w:pPr>
        <w:pStyle w:val="3"/>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 w:name="_Toc35393798"/>
      <w:bookmarkStart w:id="4" w:name="_Toc28359089"/>
      <w:bookmarkStart w:id="5" w:name="_Toc14730"/>
      <w:bookmarkStart w:id="6" w:name="_Toc35393629"/>
      <w:bookmarkStart w:id="7" w:name="_Toc28359012"/>
      <w:r>
        <w:rPr>
          <w:rFonts w:hint="eastAsia" w:ascii="宋体" w:hAnsi="宋体" w:eastAsia="宋体" w:cs="宋体"/>
          <w:b/>
          <w:bCs w:val="0"/>
          <w:color w:val="auto"/>
          <w:sz w:val="24"/>
          <w:szCs w:val="24"/>
          <w:highlight w:val="none"/>
        </w:rPr>
        <w:t>项目概况</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淮北市人社局物业管理服务项目的潜在投标人应在安徽鹄翔建设项目管理有限公司获取招标文件，并于2025年10月21日9点00分（北京时间）前递交投标文件。</w:t>
      </w:r>
    </w:p>
    <w:p>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一、项目基本情况</w:t>
      </w:r>
      <w:bookmarkEnd w:id="3"/>
      <w:bookmarkEnd w:id="4"/>
      <w:bookmarkEnd w:id="5"/>
      <w:bookmarkEnd w:id="6"/>
      <w:bookmarkEnd w:id="7"/>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1.项目编号：</w:t>
      </w:r>
      <w:r>
        <w:rPr>
          <w:rFonts w:hint="eastAsia" w:ascii="宋体" w:hAnsi="宋体" w:eastAsia="宋体" w:cs="宋体"/>
          <w:color w:val="auto"/>
          <w:sz w:val="24"/>
          <w:szCs w:val="18"/>
          <w:highlight w:val="none"/>
          <w:u w:val="none"/>
          <w:lang w:val="en-US" w:eastAsia="zh-CN"/>
        </w:rPr>
        <w:t>AHHX-2025-069</w:t>
      </w:r>
      <w:r>
        <w:rPr>
          <w:rFonts w:hint="eastAsia" w:ascii="宋体" w:hAnsi="宋体" w:eastAsia="宋体" w:cs="宋体"/>
          <w:color w:val="auto"/>
          <w:sz w:val="24"/>
          <w:szCs w:val="18"/>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2.项目名称：</w:t>
      </w:r>
      <w:r>
        <w:rPr>
          <w:rFonts w:hint="eastAsia" w:ascii="宋体" w:hAnsi="宋体" w:eastAsia="宋体" w:cs="宋体"/>
          <w:color w:val="auto"/>
          <w:sz w:val="24"/>
          <w:szCs w:val="24"/>
          <w:highlight w:val="none"/>
          <w:u w:val="none"/>
          <w:lang w:val="en-US" w:eastAsia="zh-CN"/>
        </w:rPr>
        <w:t>淮北市人社局物业管理服务项目</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3.预算金额：</w:t>
      </w:r>
      <w:r>
        <w:rPr>
          <w:rFonts w:hint="eastAsia" w:ascii="宋体" w:hAnsi="宋体" w:eastAsia="宋体" w:cs="宋体"/>
          <w:color w:val="auto"/>
          <w:sz w:val="24"/>
          <w:szCs w:val="24"/>
          <w:highlight w:val="none"/>
          <w:u w:val="none"/>
          <w:lang w:val="en-US" w:eastAsia="zh-CN"/>
        </w:rPr>
        <w:t>27.3万元</w:t>
      </w:r>
      <w:r>
        <w:rPr>
          <w:rFonts w:hint="eastAsia" w:ascii="宋体" w:hAnsi="宋体" w:eastAsia="宋体" w:cs="宋体"/>
          <w:color w:val="auto"/>
          <w:sz w:val="24"/>
          <w:szCs w:val="18"/>
          <w:highlight w:val="none"/>
          <w:u w:val="none"/>
          <w:lang w:val="en-US" w:eastAsia="zh-CN"/>
        </w:rPr>
        <w:t xml:space="preserve"> </w:t>
      </w:r>
      <w:r>
        <w:rPr>
          <w:rFonts w:hint="eastAsia" w:ascii="宋体" w:hAnsi="宋体" w:eastAsia="宋体" w:cs="宋体"/>
          <w:color w:val="auto"/>
          <w:sz w:val="24"/>
          <w:szCs w:val="18"/>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4.最高限价：</w:t>
      </w:r>
      <w:r>
        <w:rPr>
          <w:rFonts w:hint="eastAsia" w:ascii="宋体" w:hAnsi="宋体" w:eastAsia="宋体" w:cs="宋体"/>
          <w:color w:val="auto"/>
          <w:sz w:val="24"/>
          <w:szCs w:val="24"/>
          <w:highlight w:val="none"/>
          <w:u w:val="none"/>
          <w:lang w:val="en-US" w:eastAsia="zh-CN"/>
        </w:rPr>
        <w:t>27.3万元</w:t>
      </w:r>
      <w:r>
        <w:rPr>
          <w:rFonts w:hint="eastAsia" w:ascii="宋体" w:hAnsi="宋体" w:eastAsia="宋体" w:cs="宋体"/>
          <w:color w:val="auto"/>
          <w:sz w:val="24"/>
          <w:szCs w:val="18"/>
          <w:highlight w:val="none"/>
          <w:u w:val="none"/>
          <w:lang w:val="en-US" w:eastAsia="zh-CN"/>
        </w:rPr>
        <w:t xml:space="preserve">  </w:t>
      </w:r>
    </w:p>
    <w:p>
      <w:pPr>
        <w:spacing w:line="360" w:lineRule="auto"/>
        <w:ind w:firstLine="480" w:firstLineChars="200"/>
        <w:rPr>
          <w:rFonts w:hint="eastAsia" w:ascii="宋体" w:hAnsi="宋体" w:eastAsia="宋体" w:cs="宋体"/>
          <w:color w:val="auto"/>
          <w:sz w:val="24"/>
          <w:szCs w:val="24"/>
          <w:u w:val="none"/>
          <w:lang w:val="en-US"/>
        </w:rPr>
      </w:pPr>
      <w:r>
        <w:rPr>
          <w:rFonts w:hint="eastAsia" w:ascii="宋体" w:hAnsi="宋体" w:eastAsia="宋体" w:cs="宋体"/>
          <w:color w:val="auto"/>
          <w:sz w:val="24"/>
          <w:szCs w:val="24"/>
          <w:highlight w:val="none"/>
          <w:u w:val="none"/>
        </w:rPr>
        <w:t>5.采购需求：</w:t>
      </w:r>
      <w:r>
        <w:rPr>
          <w:rFonts w:hint="eastAsia" w:ascii="宋体" w:hAnsi="宋体" w:eastAsia="宋体" w:cs="宋体"/>
          <w:color w:val="auto"/>
          <w:sz w:val="24"/>
          <w:szCs w:val="18"/>
          <w:highlight w:val="none"/>
          <w:u w:val="none"/>
          <w:lang w:val="en-US" w:eastAsia="zh-CN"/>
        </w:rPr>
        <w:t>淮北市人社局物业管理服务项目，</w:t>
      </w:r>
      <w:r>
        <w:rPr>
          <w:rFonts w:hint="eastAsia" w:ascii="宋体" w:hAnsi="宋体" w:eastAsia="宋体" w:cs="宋体"/>
          <w:color w:val="auto"/>
          <w:sz w:val="24"/>
          <w:szCs w:val="24"/>
          <w:u w:val="none"/>
          <w:lang w:val="en-US"/>
        </w:rPr>
        <w:t>位于</w:t>
      </w:r>
      <w:r>
        <w:rPr>
          <w:rFonts w:hint="eastAsia" w:ascii="宋体" w:hAnsi="宋体" w:eastAsia="宋体" w:cs="宋体"/>
          <w:color w:val="auto"/>
          <w:sz w:val="24"/>
          <w:szCs w:val="24"/>
          <w:u w:val="none"/>
          <w:lang w:val="en-US" w:eastAsia="zh-CN"/>
        </w:rPr>
        <w:t>淮北市相山区</w:t>
      </w:r>
      <w:r>
        <w:rPr>
          <w:rFonts w:hint="eastAsia" w:ascii="宋体" w:hAnsi="宋体" w:eastAsia="宋体" w:cs="宋体"/>
          <w:color w:val="auto"/>
          <w:sz w:val="24"/>
          <w:szCs w:val="24"/>
          <w:u w:val="none"/>
          <w:lang w:val="en-US"/>
        </w:rPr>
        <w:t>，具体</w:t>
      </w:r>
      <w:r>
        <w:rPr>
          <w:rFonts w:hint="eastAsia" w:ascii="宋体" w:hAnsi="宋体" w:eastAsia="宋体" w:cs="宋体"/>
          <w:color w:val="auto"/>
          <w:sz w:val="24"/>
          <w:szCs w:val="24"/>
          <w:u w:val="none"/>
          <w:lang w:val="en-US" w:eastAsia="zh-CN"/>
        </w:rPr>
        <w:t>服务需求</w:t>
      </w:r>
      <w:r>
        <w:rPr>
          <w:rFonts w:hint="eastAsia" w:ascii="宋体" w:hAnsi="宋体" w:eastAsia="宋体" w:cs="宋体"/>
          <w:color w:val="auto"/>
          <w:sz w:val="24"/>
          <w:szCs w:val="24"/>
          <w:u w:val="none"/>
          <w:lang w:val="en-US"/>
        </w:rPr>
        <w:t>详见竞争性磋商文件。</w:t>
      </w:r>
    </w:p>
    <w:p>
      <w:pPr>
        <w:spacing w:line="360" w:lineRule="auto"/>
        <w:ind w:firstLine="480" w:firstLineChars="200"/>
        <w:rPr>
          <w:rFonts w:hint="eastAsia"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24"/>
          <w:highlight w:val="none"/>
        </w:rPr>
        <w:t>6.合同履行期限：合同签订后一年</w:t>
      </w:r>
      <w:r>
        <w:rPr>
          <w:rFonts w:hint="eastAsia" w:ascii="宋体" w:hAnsi="宋体" w:eastAsia="宋体" w:cs="宋体"/>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highlight w:val="none"/>
        </w:rPr>
        <w:t>本项目（是/否）接受联合体磋商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w:t>
      </w:r>
    </w:p>
    <w:p>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8" w:name="_Toc35393799"/>
      <w:bookmarkStart w:id="9" w:name="_Toc32615"/>
      <w:bookmarkStart w:id="10" w:name="_Toc28359013"/>
      <w:bookmarkStart w:id="11" w:name="_Toc28359090"/>
      <w:bookmarkStart w:id="12" w:name="_Toc35393630"/>
      <w:r>
        <w:rPr>
          <w:rFonts w:hint="eastAsia" w:ascii="宋体" w:hAnsi="宋体" w:eastAsia="宋体" w:cs="宋体"/>
          <w:bCs w:val="0"/>
          <w:color w:val="auto"/>
          <w:sz w:val="24"/>
          <w:szCs w:val="24"/>
          <w:highlight w:val="none"/>
        </w:rPr>
        <w:t>二、申请人的资格要求：</w:t>
      </w:r>
      <w:bookmarkEnd w:id="8"/>
      <w:bookmarkEnd w:id="9"/>
      <w:bookmarkEnd w:id="10"/>
      <w:bookmarkEnd w:id="11"/>
      <w:bookmarkEnd w:id="12"/>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spacing w:line="360" w:lineRule="auto"/>
        <w:ind w:firstLine="435"/>
        <w:rPr>
          <w:rFonts w:hint="default" w:ascii="宋体" w:hAnsi="宋体" w:eastAsia="宋体" w:cs="宋体"/>
          <w:color w:val="auto"/>
          <w:sz w:val="24"/>
          <w:szCs w:val="24"/>
          <w:highlight w:val="none"/>
          <w:lang w:val="en-US" w:eastAsia="zh-CN"/>
        </w:rPr>
      </w:pPr>
      <w:bookmarkStart w:id="13" w:name="_Toc28359014"/>
      <w:bookmarkStart w:id="14" w:name="_Toc28359091"/>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无</w:t>
      </w:r>
      <w:r>
        <w:rPr>
          <w:rFonts w:hint="eastAsia" w:ascii="宋体" w:hAnsi="宋体" w:eastAsia="宋体" w:cs="宋体"/>
          <w:color w:val="auto"/>
          <w:sz w:val="24"/>
          <w:szCs w:val="24"/>
          <w:highlight w:val="none"/>
        </w:rPr>
        <w:t>。</w:t>
      </w:r>
    </w:p>
    <w:p>
      <w:pPr>
        <w:pStyle w:val="3"/>
        <w:spacing w:before="0" w:after="0" w:line="360" w:lineRule="auto"/>
        <w:ind w:firstLine="482" w:firstLineChars="200"/>
        <w:rPr>
          <w:rFonts w:hint="default" w:ascii="宋体" w:hAnsi="宋体" w:eastAsia="宋体" w:cs="宋体"/>
          <w:bCs w:val="0"/>
          <w:color w:val="auto"/>
          <w:sz w:val="24"/>
          <w:szCs w:val="24"/>
          <w:highlight w:val="none"/>
          <w:lang w:val="en-US" w:eastAsia="zh-CN"/>
        </w:rPr>
      </w:pPr>
      <w:bookmarkStart w:id="15" w:name="_Toc24072"/>
      <w:bookmarkStart w:id="16" w:name="_Toc35393800"/>
      <w:bookmarkStart w:id="17" w:name="_Toc35393631"/>
      <w:r>
        <w:rPr>
          <w:rFonts w:hint="eastAsia" w:ascii="宋体" w:hAnsi="宋体" w:eastAsia="宋体" w:cs="宋体"/>
          <w:bCs w:val="0"/>
          <w:color w:val="auto"/>
          <w:sz w:val="24"/>
          <w:szCs w:val="24"/>
          <w:highlight w:val="none"/>
        </w:rPr>
        <w:t>三、获取</w:t>
      </w:r>
      <w:bookmarkEnd w:id="13"/>
      <w:bookmarkEnd w:id="14"/>
      <w:bookmarkEnd w:id="15"/>
      <w:bookmarkEnd w:id="16"/>
      <w:bookmarkEnd w:id="17"/>
      <w:r>
        <w:rPr>
          <w:rFonts w:hint="eastAsia" w:ascii="宋体" w:hAnsi="宋体" w:eastAsia="宋体" w:cs="宋体"/>
          <w:bCs w:val="0"/>
          <w:color w:val="auto"/>
          <w:sz w:val="24"/>
          <w:szCs w:val="24"/>
          <w:highlight w:val="none"/>
          <w:lang w:eastAsia="zh-CN"/>
        </w:rPr>
        <w:t>磋商文件</w:t>
      </w:r>
      <w:r>
        <w:rPr>
          <w:rFonts w:hint="eastAsia" w:ascii="宋体" w:hAnsi="宋体" w:eastAsia="宋体" w:cs="宋体"/>
          <w:bCs w:val="0"/>
          <w:color w:val="auto"/>
          <w:sz w:val="24"/>
          <w:szCs w:val="24"/>
          <w:highlight w:val="none"/>
          <w:lang w:val="en-US" w:eastAsia="zh-CN"/>
        </w:rPr>
        <w:t>及报名截止时间</w:t>
      </w:r>
    </w:p>
    <w:p>
      <w:pPr>
        <w:spacing w:line="360" w:lineRule="auto"/>
        <w:ind w:firstLine="540"/>
        <w:rPr>
          <w:rFonts w:hint="eastAsia" w:ascii="宋体" w:hAnsi="宋体" w:eastAsia="宋体" w:cs="宋体"/>
          <w:i/>
          <w:iCs/>
          <w:color w:val="auto"/>
          <w:sz w:val="24"/>
          <w:szCs w:val="24"/>
          <w:highlight w:val="none"/>
        </w:rPr>
      </w:pPr>
      <w:bookmarkStart w:id="18" w:name="_Toc28359015"/>
      <w:bookmarkStart w:id="19" w:name="_Toc35393801"/>
      <w:bookmarkStart w:id="20" w:name="_Toc35393632"/>
      <w:bookmarkStart w:id="21" w:name="_Toc5805"/>
      <w:bookmarkStart w:id="22" w:name="_Toc28359092"/>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lang w:val="en-US" w:eastAsia="zh-CN"/>
        </w:rPr>
        <w:t xml:space="preserve"> 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10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2"/>
          <w:highlight w:val="none"/>
        </w:rPr>
        <w:t xml:space="preserve">至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15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17</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rPr>
        <w:t>分</w:t>
      </w:r>
      <w:r>
        <w:rPr>
          <w:rFonts w:hint="eastAsia" w:ascii="宋体" w:hAnsi="宋体" w:eastAsia="宋体" w:cs="宋体"/>
          <w:color w:val="auto"/>
          <w:sz w:val="24"/>
          <w:szCs w:val="22"/>
          <w:highlight w:val="none"/>
        </w:rPr>
        <w:t>（北京时间，法定节假日除外）</w:t>
      </w:r>
    </w:p>
    <w:p>
      <w:pPr>
        <w:spacing w:line="360" w:lineRule="auto"/>
        <w:ind w:firstLine="540"/>
        <w:rPr>
          <w:rFonts w:hint="eastAsia"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安徽鹄翔建设项目管理有限公司（安徽省淮北市相山区长山路西侧CZ—1幢2层 ）</w:t>
      </w:r>
    </w:p>
    <w:p>
      <w:pPr>
        <w:spacing w:line="360" w:lineRule="auto"/>
        <w:ind w:firstLine="54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现场获取或线上联系，联系方式：19855252000微信同号。</w:t>
      </w:r>
    </w:p>
    <w:p>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四、响应文件提交</w:t>
      </w:r>
      <w:bookmarkEnd w:id="18"/>
      <w:bookmarkEnd w:id="19"/>
      <w:bookmarkEnd w:id="20"/>
      <w:bookmarkEnd w:id="21"/>
      <w:bookmarkEnd w:id="22"/>
    </w:p>
    <w:p>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21</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9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分（北京时间）</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bookmarkStart w:id="23" w:name="_Toc28359093"/>
      <w:bookmarkStart w:id="24" w:name="_Toc32658"/>
      <w:bookmarkStart w:id="25" w:name="_Toc35393802"/>
      <w:bookmarkStart w:id="26" w:name="_Toc28359016"/>
      <w:bookmarkStart w:id="27" w:name="_Toc35393633"/>
      <w:r>
        <w:rPr>
          <w:rFonts w:hint="eastAsia" w:ascii="宋体" w:hAnsi="宋体" w:eastAsia="宋体" w:cs="宋体"/>
          <w:color w:val="auto"/>
          <w:sz w:val="24"/>
          <w:szCs w:val="24"/>
          <w:highlight w:val="none"/>
          <w:lang w:val="en-US" w:eastAsia="zh-CN"/>
        </w:rPr>
        <w:t>安徽鹄翔建设项目管理有限公司会议室（安徽省淮北市相山区长山路西侧CZ—1幢2层 ）</w:t>
      </w:r>
    </w:p>
    <w:p>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五、开启</w:t>
      </w:r>
      <w:bookmarkEnd w:id="23"/>
      <w:bookmarkEnd w:id="24"/>
      <w:bookmarkEnd w:id="25"/>
      <w:bookmarkEnd w:id="26"/>
      <w:bookmarkEnd w:id="27"/>
    </w:p>
    <w:p>
      <w:pPr>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lang w:val="en-US" w:eastAsia="zh-CN"/>
        </w:rPr>
        <w:t xml:space="preserve"> 21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lang w:val="en-US" w:eastAsia="zh-CN"/>
        </w:rPr>
        <w:t xml:space="preserve"> 9 </w:t>
      </w:r>
      <w:r>
        <w:rPr>
          <w:rFonts w:hint="eastAsia" w:ascii="宋体" w:hAnsi="宋体" w:eastAsia="宋体" w:cs="宋体"/>
          <w:bCs/>
          <w:color w:val="auto"/>
          <w:sz w:val="24"/>
          <w:szCs w:val="24"/>
          <w:highlight w:val="none"/>
        </w:rPr>
        <w:t>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分（北京时间）</w:t>
      </w:r>
    </w:p>
    <w:p>
      <w:pPr>
        <w:spacing w:line="360" w:lineRule="auto"/>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安徽鹄翔建设项目管理有限公司会议室（安徽省淮北市相山区长山路西侧CZ—1幢2层 ）</w:t>
      </w:r>
      <w:r>
        <w:rPr>
          <w:rFonts w:hint="eastAsia" w:ascii="宋体" w:hAnsi="宋体" w:eastAsia="宋体" w:cs="宋体"/>
          <w:color w:val="auto"/>
          <w:sz w:val="24"/>
          <w:highlight w:val="none"/>
          <w:lang w:val="en-US" w:eastAsia="zh-CN"/>
        </w:rPr>
        <w:t xml:space="preserve"> </w:t>
      </w:r>
    </w:p>
    <w:p>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28" w:name="_Toc28359017"/>
      <w:bookmarkStart w:id="29" w:name="_Toc35393803"/>
      <w:bookmarkStart w:id="30" w:name="_Toc6935"/>
      <w:bookmarkStart w:id="31" w:name="_Toc28359094"/>
      <w:bookmarkStart w:id="32" w:name="_Toc35393634"/>
      <w:r>
        <w:rPr>
          <w:rFonts w:hint="eastAsia" w:ascii="宋体" w:hAnsi="宋体" w:eastAsia="宋体" w:cs="宋体"/>
          <w:bCs w:val="0"/>
          <w:color w:val="auto"/>
          <w:sz w:val="24"/>
          <w:szCs w:val="24"/>
          <w:highlight w:val="none"/>
        </w:rPr>
        <w:t>六、公告期限</w:t>
      </w:r>
      <w:bookmarkEnd w:id="28"/>
      <w:bookmarkEnd w:id="29"/>
      <w:bookmarkEnd w:id="30"/>
      <w:bookmarkEnd w:id="31"/>
      <w:bookmarkEnd w:id="32"/>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pPr>
        <w:pStyle w:val="3"/>
        <w:spacing w:before="0" w:after="0" w:line="360" w:lineRule="auto"/>
        <w:ind w:firstLine="482" w:firstLineChars="200"/>
        <w:rPr>
          <w:rFonts w:hint="eastAsia" w:ascii="宋体" w:hAnsi="宋体" w:eastAsia="宋体" w:cs="宋体"/>
          <w:bCs w:val="0"/>
          <w:color w:val="auto"/>
          <w:sz w:val="24"/>
          <w:szCs w:val="24"/>
          <w:highlight w:val="none"/>
        </w:rPr>
      </w:pPr>
      <w:bookmarkStart w:id="33" w:name="_Toc23004"/>
      <w:bookmarkStart w:id="34" w:name="_Toc35393804"/>
      <w:bookmarkStart w:id="35" w:name="_Toc35393635"/>
      <w:r>
        <w:rPr>
          <w:rFonts w:hint="eastAsia" w:ascii="宋体" w:hAnsi="宋体" w:eastAsia="宋体" w:cs="宋体"/>
          <w:bCs w:val="0"/>
          <w:color w:val="auto"/>
          <w:sz w:val="24"/>
          <w:szCs w:val="24"/>
          <w:highlight w:val="none"/>
        </w:rPr>
        <w:t>七、其他补充事宜</w:t>
      </w:r>
      <w:bookmarkEnd w:id="33"/>
      <w:bookmarkEnd w:id="34"/>
      <w:bookmarkEnd w:id="35"/>
    </w:p>
    <w:p>
      <w:pPr>
        <w:pStyle w:val="3"/>
        <w:spacing w:before="0" w:after="0" w:line="360" w:lineRule="auto"/>
        <w:ind w:firstLine="480" w:firstLineChars="200"/>
        <w:rPr>
          <w:rFonts w:hint="eastAsia" w:ascii="宋体" w:hAnsi="宋体" w:eastAsia="宋体" w:cs="宋体"/>
          <w:b w:val="0"/>
          <w:bCs/>
          <w:color w:val="auto"/>
          <w:sz w:val="24"/>
          <w:szCs w:val="24"/>
          <w:highlight w:val="none"/>
          <w:lang w:val="en-US" w:eastAsia="zh-CN"/>
        </w:rPr>
      </w:pPr>
      <w:bookmarkStart w:id="36" w:name="_Toc28359095"/>
      <w:bookmarkStart w:id="37" w:name="_Toc35393636"/>
      <w:bookmarkStart w:id="38" w:name="_Toc28099"/>
      <w:bookmarkStart w:id="39" w:name="_Toc28359018"/>
      <w:bookmarkStart w:id="40" w:name="_Toc35393805"/>
      <w:r>
        <w:rPr>
          <w:rFonts w:hint="eastAsia" w:ascii="宋体" w:hAnsi="宋体" w:eastAsia="宋体" w:cs="宋体"/>
          <w:b w:val="0"/>
          <w:bCs/>
          <w:color w:val="auto"/>
          <w:sz w:val="24"/>
          <w:szCs w:val="24"/>
          <w:highlight w:val="none"/>
          <w:lang w:val="en-US" w:eastAsia="zh-CN"/>
        </w:rPr>
        <w:t>无</w:t>
      </w:r>
    </w:p>
    <w:p>
      <w:pPr>
        <w:pStyle w:val="3"/>
        <w:spacing w:before="0" w:after="0" w:line="360" w:lineRule="auto"/>
        <w:ind w:firstLine="482"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八、凡对本次采购提出询问，请按以下方式联系。</w:t>
      </w:r>
      <w:bookmarkEnd w:id="36"/>
      <w:bookmarkEnd w:id="37"/>
      <w:bookmarkEnd w:id="38"/>
      <w:bookmarkEnd w:id="39"/>
      <w:bookmarkEnd w:id="40"/>
    </w:p>
    <w:p>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41" w:name="_Toc35393806"/>
      <w:bookmarkStart w:id="42" w:name="_Toc28359096"/>
      <w:bookmarkStart w:id="43" w:name="_Toc29915"/>
      <w:bookmarkStart w:id="44" w:name="_Toc28359019"/>
      <w:bookmarkStart w:id="45" w:name="_Toc35393637"/>
      <w:r>
        <w:rPr>
          <w:rFonts w:hint="eastAsia" w:ascii="宋体" w:hAnsi="宋体" w:eastAsia="宋体" w:cs="宋体"/>
          <w:b w:val="0"/>
          <w:color w:val="auto"/>
          <w:sz w:val="24"/>
          <w:szCs w:val="24"/>
          <w:highlight w:val="none"/>
        </w:rPr>
        <w:t>1.采购人信息</w:t>
      </w:r>
      <w:bookmarkEnd w:id="41"/>
      <w:bookmarkEnd w:id="42"/>
      <w:bookmarkEnd w:id="43"/>
      <w:bookmarkEnd w:id="44"/>
      <w:bookmarkEnd w:id="45"/>
    </w:p>
    <w:p>
      <w:pPr>
        <w:spacing w:line="360" w:lineRule="auto"/>
        <w:ind w:firstLine="435"/>
        <w:rPr>
          <w:rFonts w:hint="eastAsia" w:ascii="宋体" w:hAnsi="宋体" w:eastAsia="宋体" w:cs="宋体"/>
          <w:color w:val="auto"/>
          <w:sz w:val="24"/>
          <w:szCs w:val="18"/>
          <w:highlight w:val="none"/>
        </w:rPr>
      </w:pPr>
      <w:bookmarkStart w:id="46" w:name="_Toc28359097"/>
      <w:bookmarkStart w:id="47" w:name="_Toc35393807"/>
      <w:bookmarkStart w:id="48" w:name="_Toc28359020"/>
      <w:bookmarkStart w:id="49" w:name="_Toc35393638"/>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eastAsia="zh-CN"/>
        </w:rPr>
        <w:t>淮北市人力资源和社会保障局</w:t>
      </w:r>
      <w:r>
        <w:rPr>
          <w:rFonts w:hint="eastAsia" w:ascii="宋体" w:hAnsi="宋体" w:eastAsia="宋体" w:cs="宋体"/>
          <w:color w:val="auto"/>
          <w:sz w:val="24"/>
          <w:szCs w:val="18"/>
          <w:highlight w:val="none"/>
          <w:u w:val="single"/>
        </w:rPr>
        <w:t xml:space="preserve">  </w:t>
      </w:r>
    </w:p>
    <w:p>
      <w:pPr>
        <w:spacing w:line="360" w:lineRule="auto"/>
        <w:ind w:firstLine="435"/>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eastAsia="zh-CN"/>
        </w:rPr>
        <w:t>淮北市相山区</w:t>
      </w:r>
      <w:r>
        <w:rPr>
          <w:rFonts w:hint="eastAsia" w:ascii="宋体" w:hAnsi="宋体" w:eastAsia="宋体" w:cs="宋体"/>
          <w:color w:val="auto"/>
          <w:sz w:val="24"/>
          <w:szCs w:val="18"/>
          <w:highlight w:val="none"/>
          <w:u w:val="single"/>
          <w:lang w:val="en-US" w:eastAsia="zh-CN"/>
        </w:rPr>
        <w:t xml:space="preserve"> </w:t>
      </w:r>
    </w:p>
    <w:p>
      <w:pPr>
        <w:spacing w:line="360" w:lineRule="auto"/>
        <w:ind w:firstLine="435"/>
        <w:rPr>
          <w:rFonts w:hint="default" w:ascii="宋体" w:hAnsi="宋体" w:eastAsia="宋体" w:cs="宋体"/>
          <w:color w:val="auto"/>
          <w:sz w:val="24"/>
          <w:szCs w:val="18"/>
          <w:highlight w:val="none"/>
          <w:u w:val="single"/>
          <w:lang w:val="en-US" w:eastAsia="zh-CN"/>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single"/>
          <w:lang w:val="en-US" w:eastAsia="zh-CN"/>
        </w:rPr>
        <w:t xml:space="preserve">    赵主任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single"/>
          <w:lang w:val="en-US" w:eastAsia="zh-CN"/>
        </w:rPr>
        <w:t>18119821223</w:t>
      </w:r>
      <w:r>
        <w:rPr>
          <w:rFonts w:hint="eastAsia" w:ascii="宋体" w:hAnsi="宋体" w:eastAsia="宋体" w:cs="宋体"/>
          <w:color w:val="auto"/>
          <w:sz w:val="24"/>
          <w:szCs w:val="18"/>
          <w:highlight w:val="none"/>
          <w:u w:val="single"/>
        </w:rPr>
        <w:t xml:space="preserve">  </w:t>
      </w:r>
    </w:p>
    <w:p>
      <w:pPr>
        <w:pStyle w:val="3"/>
        <w:spacing w:before="0" w:after="0" w:line="360" w:lineRule="auto"/>
        <w:ind w:firstLine="480" w:firstLineChars="200"/>
        <w:rPr>
          <w:rFonts w:hint="eastAsia" w:ascii="宋体" w:hAnsi="宋体" w:eastAsia="宋体" w:cs="宋体"/>
          <w:b w:val="0"/>
          <w:color w:val="auto"/>
          <w:sz w:val="24"/>
          <w:szCs w:val="24"/>
          <w:highlight w:val="none"/>
        </w:rPr>
      </w:pPr>
      <w:bookmarkStart w:id="50" w:name="_Toc15577"/>
      <w:r>
        <w:rPr>
          <w:rFonts w:hint="eastAsia" w:ascii="宋体" w:hAnsi="宋体" w:eastAsia="宋体" w:cs="宋体"/>
          <w:b w:val="0"/>
          <w:color w:val="auto"/>
          <w:sz w:val="24"/>
          <w:szCs w:val="24"/>
          <w:highlight w:val="none"/>
        </w:rPr>
        <w:t>2.采购代理机构信息</w:t>
      </w:r>
      <w:bookmarkEnd w:id="46"/>
      <w:bookmarkEnd w:id="47"/>
      <w:bookmarkEnd w:id="48"/>
      <w:bookmarkEnd w:id="49"/>
      <w:bookmarkEnd w:id="50"/>
    </w:p>
    <w:p>
      <w:pPr>
        <w:spacing w:line="360" w:lineRule="auto"/>
        <w:ind w:firstLine="435"/>
        <w:rPr>
          <w:rFonts w:hint="eastAsia" w:ascii="宋体" w:hAnsi="宋体" w:eastAsia="宋体" w:cs="宋体"/>
          <w:color w:val="auto"/>
          <w:sz w:val="24"/>
          <w:szCs w:val="18"/>
          <w:highlight w:val="none"/>
        </w:rPr>
      </w:pPr>
      <w:bookmarkStart w:id="51" w:name="_Toc35393808"/>
      <w:bookmarkStart w:id="52" w:name="_Toc28359021"/>
      <w:bookmarkStart w:id="53" w:name="_Toc28359098"/>
      <w:bookmarkStart w:id="54" w:name="_Toc35393639"/>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18"/>
          <w:highlight w:val="none"/>
        </w:rPr>
        <w:t>：</w:t>
      </w:r>
      <w:r>
        <w:rPr>
          <w:rFonts w:hint="eastAsia" w:ascii="宋体" w:hAnsi="宋体" w:eastAsia="宋体" w:cs="宋体"/>
          <w:color w:val="auto"/>
          <w:sz w:val="24"/>
          <w:szCs w:val="18"/>
          <w:highlight w:val="none"/>
          <w:u w:val="single"/>
          <w:lang w:val="en-US" w:eastAsia="zh-CN"/>
        </w:rPr>
        <w:t>安徽鹄翔建设项目管理有限公司</w:t>
      </w:r>
      <w:r>
        <w:rPr>
          <w:rFonts w:hint="eastAsia" w:ascii="宋体" w:hAnsi="宋体" w:eastAsia="宋体" w:cs="宋体"/>
          <w:color w:val="auto"/>
          <w:sz w:val="24"/>
          <w:szCs w:val="18"/>
          <w:highlight w:val="none"/>
          <w:u w:val="single"/>
        </w:rPr>
        <w:t xml:space="preserve">  </w:t>
      </w:r>
    </w:p>
    <w:p>
      <w:pPr>
        <w:spacing w:line="360" w:lineRule="auto"/>
        <w:ind w:firstLine="435"/>
        <w:rPr>
          <w:rFonts w:hint="eastAsia" w:ascii="宋体" w:hAnsi="宋体" w:eastAsia="宋体" w:cs="宋体"/>
          <w:color w:val="auto"/>
          <w:sz w:val="24"/>
          <w:szCs w:val="18"/>
          <w:highlight w:val="none"/>
          <w:u w:val="single"/>
        </w:rPr>
      </w:pPr>
      <w:r>
        <w:rPr>
          <w:rFonts w:hint="eastAsia" w:ascii="宋体" w:hAnsi="宋体" w:eastAsia="宋体" w:cs="宋体"/>
          <w:color w:val="auto"/>
          <w:sz w:val="24"/>
          <w:szCs w:val="18"/>
          <w:highlight w:val="none"/>
        </w:rPr>
        <w:t>地  址：</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 xml:space="preserve">安徽省淮北市相山区长山路西侧CZ—1幢2层 </w:t>
      </w:r>
    </w:p>
    <w:p>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szCs w:val="18"/>
          <w:highlight w:val="none"/>
        </w:rPr>
        <w:t>联系人：</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徐工</w:t>
      </w:r>
      <w:r>
        <w:rPr>
          <w:rFonts w:hint="eastAsia" w:ascii="宋体" w:hAnsi="宋体" w:eastAsia="宋体" w:cs="宋体"/>
          <w:color w:val="auto"/>
          <w:sz w:val="24"/>
          <w:szCs w:val="18"/>
          <w:highlight w:val="none"/>
          <w:u w:val="single"/>
        </w:rPr>
        <w:t xml:space="preserve">  </w:t>
      </w:r>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联系方式：</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19855252000</w:t>
      </w:r>
      <w:r>
        <w:rPr>
          <w:rFonts w:hint="eastAsia" w:ascii="宋体" w:hAnsi="宋体" w:eastAsia="宋体" w:cs="宋体"/>
          <w:color w:val="auto"/>
          <w:sz w:val="24"/>
          <w:szCs w:val="18"/>
          <w:highlight w:val="none"/>
          <w:u w:val="single"/>
        </w:rPr>
        <w:t xml:space="preserve">  </w:t>
      </w:r>
    </w:p>
    <w:bookmarkEnd w:id="51"/>
    <w:bookmarkEnd w:id="52"/>
    <w:bookmarkEnd w:id="53"/>
    <w:bookmarkEnd w:id="54"/>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pPr>
        <w:spacing w:line="360" w:lineRule="auto"/>
        <w:jc w:val="center"/>
        <w:outlineLvl w:val="0"/>
        <w:rPr>
          <w:rFonts w:hint="eastAsia" w:ascii="宋体" w:hAnsi="宋体" w:eastAsia="宋体" w:cs="宋体"/>
          <w:b/>
          <w:color w:val="auto"/>
          <w:sz w:val="28"/>
          <w:highlight w:val="none"/>
        </w:rPr>
      </w:pPr>
      <w:bookmarkStart w:id="55" w:name="_Toc7162"/>
      <w:r>
        <w:rPr>
          <w:rFonts w:hint="eastAsia" w:ascii="宋体" w:hAnsi="宋体" w:eastAsia="宋体" w:cs="宋体"/>
          <w:b/>
          <w:color w:val="auto"/>
          <w:sz w:val="28"/>
          <w:highlight w:val="none"/>
        </w:rPr>
        <w:t>第二章  供应商须知</w:t>
      </w:r>
      <w:bookmarkEnd w:id="55"/>
    </w:p>
    <w:p>
      <w:pPr>
        <w:spacing w:line="360" w:lineRule="auto"/>
        <w:jc w:val="center"/>
        <w:outlineLvl w:val="1"/>
        <w:rPr>
          <w:rFonts w:hint="eastAsia" w:ascii="宋体" w:hAnsi="宋体" w:eastAsia="宋体" w:cs="宋体"/>
          <w:b/>
          <w:color w:val="auto"/>
          <w:sz w:val="24"/>
          <w:highlight w:val="none"/>
        </w:rPr>
      </w:pPr>
      <w:bookmarkStart w:id="56" w:name="_Toc11383"/>
      <w:bookmarkStart w:id="57" w:name="_Toc11709"/>
      <w:r>
        <w:rPr>
          <w:rFonts w:hint="eastAsia" w:ascii="宋体" w:hAnsi="宋体" w:eastAsia="宋体" w:cs="宋体"/>
          <w:b/>
          <w:color w:val="auto"/>
          <w:sz w:val="24"/>
          <w:highlight w:val="none"/>
        </w:rPr>
        <w:t>一、供应商须知前附表</w:t>
      </w:r>
      <w:bookmarkEnd w:id="56"/>
      <w:bookmarkEnd w:id="57"/>
    </w:p>
    <w:p>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本表是本项目的具体要求，是对供应商须知的具体补充和修改，如有不一致，以本表为准。</w:t>
      </w:r>
    </w:p>
    <w:tbl>
      <w:tblPr>
        <w:tblStyle w:val="2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227"/>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1"/>
              <w:widowControl w:val="0"/>
              <w:spacing w:before="0" w:beforeAutospacing="0" w:after="0" w:afterAutospacing="0" w:line="360" w:lineRule="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2227" w:type="dxa"/>
            <w:vAlign w:val="center"/>
          </w:tcPr>
          <w:p>
            <w:pPr>
              <w:pStyle w:val="41"/>
              <w:widowControl w:val="0"/>
              <w:spacing w:before="0" w:beforeAutospacing="0" w:after="0" w:afterAutospacing="0" w:line="360" w:lineRule="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5915" w:type="dxa"/>
            <w:vAlign w:val="center"/>
          </w:tcPr>
          <w:p>
            <w:pPr>
              <w:pStyle w:val="41"/>
              <w:widowControl w:val="0"/>
              <w:spacing w:before="0" w:beforeAutospacing="0" w:after="0" w:afterAutospacing="0" w:line="360" w:lineRule="auto"/>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5.2</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kern w:val="2"/>
                <w:sz w:val="24"/>
                <w:szCs w:val="22"/>
                <w:highlight w:val="none"/>
              </w:rPr>
              <w:t>现场考察或标前答疑会</w:t>
            </w:r>
          </w:p>
        </w:tc>
        <w:tc>
          <w:tcPr>
            <w:tcW w:w="5915" w:type="dxa"/>
            <w:vAlign w:val="center"/>
          </w:tcPr>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不组织</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6.1</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询问截止时间</w:t>
            </w:r>
          </w:p>
        </w:tc>
        <w:tc>
          <w:tcPr>
            <w:tcW w:w="5915" w:type="dxa"/>
            <w:vAlign w:val="center"/>
          </w:tcPr>
          <w:p>
            <w:pPr>
              <w:pStyle w:val="41"/>
              <w:widowControl w:val="0"/>
              <w:spacing w:before="0" w:beforeAutospacing="0" w:after="0" w:afterAutospacing="0" w:line="360" w:lineRule="auto"/>
              <w:jc w:val="both"/>
              <w:rPr>
                <w:rFonts w:hint="default" w:ascii="宋体" w:hAnsi="宋体" w:eastAsia="宋体" w:cs="宋体"/>
                <w:b w:val="0"/>
                <w:bCs w:val="0"/>
                <w:color w:val="auto"/>
                <w:sz w:val="24"/>
                <w:szCs w:val="24"/>
                <w:highlight w:val="none"/>
                <w:lang w:val="en-US"/>
              </w:rPr>
            </w:pPr>
            <w:r>
              <w:rPr>
                <w:rFonts w:hint="eastAsia" w:ascii="宋体" w:hAnsi="宋体" w:eastAsia="宋体" w:cs="宋体"/>
                <w:b w:val="0"/>
                <w:color w:val="auto"/>
                <w:sz w:val="24"/>
                <w:highlight w:val="none"/>
                <w:lang w:val="en-US" w:eastAsia="zh-CN"/>
              </w:rPr>
              <w:t>2025</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10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 xml:space="preserve">16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11</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30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分</w:t>
            </w:r>
            <w:r>
              <w:rPr>
                <w:rFonts w:hint="eastAsia" w:ascii="宋体" w:hAnsi="宋体" w:eastAsia="宋体" w:cs="宋体"/>
                <w:b w:val="0"/>
                <w:color w:val="auto"/>
                <w:sz w:val="24"/>
                <w:highlight w:val="none"/>
                <w:lang w:eastAsia="zh-CN"/>
              </w:rPr>
              <w:t>前</w:t>
            </w:r>
            <w:r>
              <w:rPr>
                <w:rFonts w:hint="eastAsia" w:ascii="宋体" w:hAnsi="宋体" w:eastAsia="宋体" w:cs="宋体"/>
                <w:b w:val="0"/>
                <w:color w:val="auto"/>
                <w:sz w:val="24"/>
                <w:highlight w:val="none"/>
                <w:lang w:val="en-US" w:eastAsia="zh-CN"/>
              </w:rPr>
              <w:t>将投标质疑函以邮件方式发至94137042@qq.com邮箱（WORD文档及加盖公章的扫描件），并电话通知代理机构。</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供应商请注意：采购人对</w:t>
            </w:r>
            <w:r>
              <w:rPr>
                <w:rFonts w:hint="eastAsia" w:ascii="宋体" w:hAnsi="宋体" w:eastAsia="宋体" w:cs="宋体"/>
                <w:b w:val="0"/>
                <w:bCs w:val="0"/>
                <w:color w:val="auto"/>
                <w:sz w:val="24"/>
                <w:szCs w:val="24"/>
                <w:highlight w:val="none"/>
                <w:lang w:val="en-US" w:eastAsia="zh-CN"/>
              </w:rPr>
              <w:t>磋商文件</w:t>
            </w:r>
            <w:r>
              <w:rPr>
                <w:rFonts w:hint="eastAsia" w:ascii="宋体" w:hAnsi="宋体" w:eastAsia="宋体" w:cs="宋体"/>
                <w:b w:val="0"/>
                <w:bCs w:val="0"/>
                <w:color w:val="auto"/>
                <w:sz w:val="24"/>
                <w:szCs w:val="24"/>
                <w:highlight w:val="none"/>
              </w:rPr>
              <w:t>进行的答疑、澄清、变更或补充，将在网站上及时发布，该公告内容为</w:t>
            </w:r>
            <w:r>
              <w:rPr>
                <w:rFonts w:hint="eastAsia" w:ascii="宋体" w:hAnsi="宋体" w:eastAsia="宋体" w:cs="宋体"/>
                <w:b w:val="0"/>
                <w:bCs w:val="0"/>
                <w:color w:val="auto"/>
                <w:sz w:val="24"/>
                <w:szCs w:val="24"/>
                <w:highlight w:val="none"/>
                <w:lang w:eastAsia="zh-CN"/>
              </w:rPr>
              <w:t>磋商</w:t>
            </w:r>
            <w:r>
              <w:rPr>
                <w:rFonts w:hint="eastAsia" w:ascii="宋体" w:hAnsi="宋体" w:eastAsia="宋体" w:cs="宋体"/>
                <w:b w:val="0"/>
                <w:bCs w:val="0"/>
                <w:color w:val="auto"/>
                <w:sz w:val="24"/>
                <w:szCs w:val="24"/>
                <w:highlight w:val="none"/>
              </w:rPr>
              <w:t>文件的组成部分，对</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供应商具有同样约束力。</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供应商应主动上网查询。采购人和代理机构不承担</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供应商未及时关注相关信息引发的相关责任。上述答疑、澄清、变更或补充在网站上发布。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7.1</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10.1</w:t>
            </w:r>
          </w:p>
        </w:tc>
        <w:tc>
          <w:tcPr>
            <w:tcW w:w="2227" w:type="dxa"/>
            <w:vAlign w:val="center"/>
          </w:tcPr>
          <w:p>
            <w:pPr>
              <w:pStyle w:val="41"/>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磋商保证金</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sz w:val="24"/>
                <w:lang w:val="en-US" w:eastAsia="zh-CN"/>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11.1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磋商有效期</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u w:val="single"/>
              </w:rPr>
              <w:t xml:space="preserve"> </w:t>
            </w:r>
            <w:r>
              <w:rPr>
                <w:rFonts w:hint="eastAsia" w:ascii="宋体" w:hAnsi="宋体" w:eastAsia="宋体" w:cs="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12.3</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响应文件</w:t>
            </w:r>
            <w:r>
              <w:rPr>
                <w:rFonts w:hint="eastAsia" w:ascii="宋体" w:hAnsi="宋体" w:eastAsia="宋体" w:cs="宋体"/>
                <w:b w:val="0"/>
                <w:color w:val="auto"/>
                <w:sz w:val="24"/>
                <w:highlight w:val="none"/>
                <w:lang w:val="en-US" w:eastAsia="zh-CN"/>
              </w:rPr>
              <w:t>递交</w:t>
            </w:r>
            <w:r>
              <w:rPr>
                <w:rFonts w:hint="eastAsia" w:ascii="宋体" w:hAnsi="宋体" w:eastAsia="宋体" w:cs="宋体"/>
                <w:b w:val="0"/>
                <w:color w:val="auto"/>
                <w:sz w:val="24"/>
                <w:highlight w:val="none"/>
              </w:rPr>
              <w:t>时间</w:t>
            </w:r>
          </w:p>
        </w:tc>
        <w:tc>
          <w:tcPr>
            <w:tcW w:w="5915" w:type="dxa"/>
            <w:vAlign w:val="center"/>
          </w:tcPr>
          <w:p>
            <w:pPr>
              <w:pStyle w:val="41"/>
              <w:widowControl w:val="0"/>
              <w:spacing w:before="0" w:beforeAutospacing="0" w:after="0" w:afterAutospacing="0" w:line="360" w:lineRule="auto"/>
              <w:jc w:val="both"/>
              <w:rPr>
                <w:rStyle w:val="34"/>
                <w:rFonts w:hint="eastAsia" w:ascii="宋体" w:hAnsi="宋体" w:eastAsia="宋体" w:cs="宋体"/>
                <w:b w:val="0"/>
                <w:bCs w:val="0"/>
                <w:color w:val="auto"/>
                <w:kern w:val="2"/>
                <w:highlight w:val="none"/>
                <w:lang w:val="en-US" w:eastAsia="zh-CN"/>
              </w:rPr>
            </w:pPr>
            <w:r>
              <w:rPr>
                <w:rFonts w:hint="eastAsia" w:ascii="宋体" w:hAnsi="宋体" w:eastAsia="宋体" w:cs="宋体"/>
                <w:b w:val="0"/>
                <w:bCs w:val="0"/>
                <w:color w:val="auto"/>
                <w:sz w:val="24"/>
                <w:szCs w:val="24"/>
                <w:highlight w:val="none"/>
                <w:lang w:eastAsia="zh-CN"/>
              </w:rPr>
              <w:t>同</w:t>
            </w:r>
            <w:r>
              <w:rPr>
                <w:rFonts w:hint="eastAsia" w:ascii="宋体" w:hAnsi="宋体" w:eastAsia="宋体" w:cs="宋体"/>
                <w:b w:val="0"/>
                <w:bCs w:val="0"/>
                <w:color w:val="auto"/>
                <w:sz w:val="24"/>
                <w:szCs w:val="24"/>
                <w:highlight w:val="none"/>
                <w:lang w:val="en-US" w:eastAsia="zh-CN"/>
              </w:rPr>
              <w:t>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14.2</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评审方法</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Merge w:val="restart"/>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19.1</w:t>
            </w:r>
          </w:p>
        </w:tc>
        <w:tc>
          <w:tcPr>
            <w:tcW w:w="2227" w:type="dxa"/>
            <w:vMerge w:val="restart"/>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确定成交候选供应商和成交供应商</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磋商小组推荐成交候选供应商的数量：</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3家</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注：法律、法规另有规定的，从其规定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Merge w:val="continue"/>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p>
        </w:tc>
        <w:tc>
          <w:tcPr>
            <w:tcW w:w="2227" w:type="dxa"/>
            <w:vMerge w:val="continue"/>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确定成交供应商：</w:t>
            </w:r>
            <w:r>
              <w:rPr>
                <w:rFonts w:hint="eastAsia" w:ascii="宋体" w:hAnsi="宋体" w:eastAsia="宋体" w:cs="宋体"/>
                <w:b w:val="0"/>
                <w:color w:val="auto"/>
                <w:sz w:val="24"/>
                <w:highlight w:val="none"/>
                <w:lang w:val="en-US" w:eastAsia="zh-CN"/>
              </w:rPr>
              <w:t xml:space="preserve"> </w:t>
            </w:r>
            <w:r>
              <w:rPr>
                <w:rFonts w:hint="eastAsia" w:ascii="宋体" w:hAnsi="宋体" w:eastAsia="宋体" w:cs="宋体"/>
                <w:b w:val="0"/>
                <w:color w:val="auto"/>
                <w:sz w:val="24"/>
                <w:highlight w:val="none"/>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22.2</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随成交结果公告同时公告的内容</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（1）中小企业声明函；</w:t>
            </w:r>
            <w:r>
              <w:rPr>
                <w:rFonts w:hint="eastAsia" w:ascii="宋体" w:hAnsi="宋体" w:eastAsia="宋体" w:cs="宋体"/>
                <w:b w:val="0"/>
                <w:i/>
                <w:iCs/>
                <w:color w:val="auto"/>
                <w:sz w:val="24"/>
                <w:highlight w:val="none"/>
              </w:rPr>
              <w:t>（如有）</w:t>
            </w:r>
          </w:p>
          <w:p>
            <w:pPr>
              <w:pStyle w:val="41"/>
              <w:widowControl w:val="0"/>
              <w:spacing w:before="0" w:beforeAutospacing="0" w:after="0" w:afterAutospacing="0" w:line="360" w:lineRule="auto"/>
              <w:jc w:val="both"/>
              <w:rPr>
                <w:rFonts w:hint="eastAsia" w:ascii="宋体" w:hAnsi="宋体" w:eastAsia="宋体" w:cs="宋体"/>
                <w:b w:val="0"/>
                <w:i/>
                <w:color w:val="auto"/>
                <w:sz w:val="24"/>
                <w:highlight w:val="none"/>
              </w:rPr>
            </w:pPr>
            <w:r>
              <w:rPr>
                <w:rFonts w:hint="eastAsia" w:ascii="宋体" w:hAnsi="宋体" w:eastAsia="宋体" w:cs="宋体"/>
                <w:b w:val="0"/>
                <w:color w:val="auto"/>
                <w:sz w:val="24"/>
                <w:highlight w:val="none"/>
              </w:rPr>
              <w:t>（2）残疾人福利性单位声明函；</w:t>
            </w:r>
            <w:r>
              <w:rPr>
                <w:rFonts w:hint="eastAsia" w:ascii="宋体" w:hAnsi="宋体" w:eastAsia="宋体" w:cs="宋体"/>
                <w:b w:val="0"/>
                <w:i/>
                <w:iCs/>
                <w:color w:val="auto"/>
                <w:sz w:val="24"/>
                <w:highlight w:val="none"/>
              </w:rPr>
              <w:t>（如有）</w:t>
            </w:r>
          </w:p>
          <w:p>
            <w:pPr>
              <w:pStyle w:val="41"/>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highlight w:val="none"/>
              </w:rPr>
              <w:t>（3）中标（成交）供应商的评审总得分；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23.1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成交通知书发出的形式</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书面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24.1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告知磋商结果的形式</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szCs w:val="24"/>
                <w:highlight w:val="none"/>
              </w:rPr>
              <w:t>供应商自行登录</w:t>
            </w:r>
            <w:r>
              <w:rPr>
                <w:rFonts w:hint="eastAsia" w:ascii="宋体" w:hAnsi="宋体" w:eastAsia="宋体" w:cs="宋体"/>
                <w:b w:val="0"/>
                <w:bCs/>
                <w:color w:val="auto"/>
                <w:sz w:val="24"/>
                <w:szCs w:val="24"/>
                <w:highlight w:val="none"/>
                <w:lang w:val="en-US" w:eastAsia="zh-CN"/>
              </w:rPr>
              <w:t>网站</w:t>
            </w:r>
            <w:r>
              <w:rPr>
                <w:rFonts w:hint="eastAsia" w:ascii="宋体" w:hAnsi="宋体" w:eastAsia="宋体" w:cs="宋体"/>
                <w:b w:val="0"/>
                <w:bCs/>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25.1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5915" w:type="dxa"/>
          </w:tcPr>
          <w:p>
            <w:pPr>
              <w:spacing w:line="360" w:lineRule="auto"/>
              <w:rPr>
                <w:rStyle w:val="34"/>
                <w:rFonts w:hint="eastAsia" w:ascii="宋体" w:hAnsi="宋体" w:eastAsia="宋体" w:cs="宋体"/>
                <w:b w:val="0"/>
                <w:bCs w:val="0"/>
                <w:color w:val="auto"/>
                <w:kern w:val="2"/>
                <w:highlight w:val="none"/>
              </w:rPr>
            </w:pPr>
            <w:r>
              <w:rPr>
                <w:rFonts w:hint="eastAsia" w:ascii="宋体" w:hAnsi="宋体" w:eastAsia="宋体" w:cs="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26.1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代理费用</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招标代理费参考原国家计委《关于印发招标代理服务收费管理暂行办法的通知》（计价格[2002]1980号）标准的执行</w:t>
            </w:r>
            <w:r>
              <w:rPr>
                <w:rFonts w:hint="eastAsia" w:ascii="宋体" w:hAnsi="宋体" w:eastAsia="宋体" w:cs="宋体"/>
                <w:b w:val="0"/>
                <w:color w:val="auto"/>
                <w:sz w:val="24"/>
                <w:highlight w:val="none"/>
                <w:lang w:val="en-US" w:eastAsia="zh-CN"/>
              </w:rPr>
              <w:t>,中标供应商须在领取成交通知书前交至采购代理机构。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27.1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签订合同</w:t>
            </w:r>
          </w:p>
        </w:tc>
        <w:tc>
          <w:tcPr>
            <w:tcW w:w="5915" w:type="dxa"/>
            <w:vAlign w:val="center"/>
          </w:tcPr>
          <w:p>
            <w:pPr>
              <w:pStyle w:val="41"/>
              <w:widowControl w:val="0"/>
              <w:spacing w:before="0" w:beforeAutospacing="0" w:after="0" w:afterAutospacing="0" w:line="360" w:lineRule="auto"/>
              <w:jc w:val="both"/>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（1）</w:t>
            </w:r>
            <w:r>
              <w:rPr>
                <w:rFonts w:hint="eastAsia" w:ascii="宋体" w:hAnsi="宋体" w:eastAsia="宋体" w:cs="宋体"/>
                <w:b w:val="0"/>
                <w:bCs/>
                <w:color w:val="auto"/>
                <w:sz w:val="24"/>
                <w:highlight w:val="none"/>
                <w:lang w:val="en-US" w:eastAsia="zh-CN"/>
              </w:rPr>
              <w:t>采购人应当尽量缩短采购合同签订时间，原则上不得晚于中标（成交）通知书发放之日起 7 个工作日。</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color w:val="auto"/>
                <w:sz w:val="24"/>
                <w:szCs w:val="24"/>
                <w:highlight w:val="none"/>
              </w:rPr>
              <w:t>（2）采购人与</w:t>
            </w:r>
            <w:r>
              <w:rPr>
                <w:rFonts w:hint="eastAsia" w:ascii="宋体" w:hAnsi="宋体" w:eastAsia="宋体" w:cs="宋体"/>
                <w:b w:val="0"/>
                <w:bCs/>
                <w:color w:val="auto"/>
                <w:sz w:val="24"/>
                <w:highlight w:val="none"/>
              </w:rPr>
              <w:t>成交供应商</w:t>
            </w:r>
            <w:r>
              <w:rPr>
                <w:rFonts w:hint="eastAsia" w:ascii="宋体" w:hAnsi="宋体" w:eastAsia="宋体" w:cs="宋体"/>
                <w:b w:val="0"/>
                <w:bCs/>
                <w:color w:val="auto"/>
                <w:sz w:val="24"/>
                <w:szCs w:val="24"/>
                <w:highlight w:val="none"/>
              </w:rPr>
              <w:t>不得擅自变更合同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29.3</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5915" w:type="dxa"/>
            <w:vAlign w:val="center"/>
          </w:tcPr>
          <w:p>
            <w:pPr>
              <w:pStyle w:val="41"/>
              <w:ind w:left="1229" w:leftChars="14" w:hanging="1200" w:hangingChars="500"/>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递交方式：</w:t>
            </w:r>
            <w:r>
              <w:rPr>
                <w:rFonts w:hint="eastAsia" w:ascii="宋体" w:hAnsi="宋体" w:eastAsia="宋体" w:cs="宋体"/>
                <w:b w:val="0"/>
                <w:color w:val="auto"/>
                <w:kern w:val="2"/>
                <w:sz w:val="24"/>
                <w:szCs w:val="24"/>
                <w:highlight w:val="none"/>
                <w:u w:val="single"/>
              </w:rPr>
              <w:t xml:space="preserve">书面方式   </w:t>
            </w:r>
            <w:r>
              <w:rPr>
                <w:rFonts w:hint="eastAsia" w:ascii="宋体" w:hAnsi="宋体" w:eastAsia="宋体" w:cs="宋体"/>
                <w:b w:val="0"/>
                <w:color w:val="auto"/>
                <w:kern w:val="2"/>
                <w:sz w:val="24"/>
                <w:szCs w:val="24"/>
                <w:highlight w:val="none"/>
              </w:rPr>
              <w:t xml:space="preserve">           </w:t>
            </w:r>
          </w:p>
          <w:p>
            <w:pPr>
              <w:pStyle w:val="41"/>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接收部门：</w:t>
            </w:r>
            <w:r>
              <w:rPr>
                <w:rFonts w:hint="eastAsia" w:ascii="宋体" w:hAnsi="宋体" w:eastAsia="宋体" w:cs="宋体"/>
                <w:b w:val="0"/>
                <w:color w:val="auto"/>
                <w:kern w:val="2"/>
                <w:sz w:val="24"/>
                <w:szCs w:val="24"/>
                <w:highlight w:val="none"/>
                <w:u w:val="single"/>
              </w:rPr>
              <w:t xml:space="preserve">代理机构   </w:t>
            </w:r>
            <w:r>
              <w:rPr>
                <w:rFonts w:hint="eastAsia" w:ascii="宋体" w:hAnsi="宋体" w:eastAsia="宋体" w:cs="宋体"/>
                <w:b w:val="0"/>
                <w:color w:val="auto"/>
                <w:kern w:val="2"/>
                <w:sz w:val="24"/>
                <w:szCs w:val="24"/>
                <w:highlight w:val="none"/>
              </w:rPr>
              <w:t xml:space="preserve">             </w:t>
            </w:r>
          </w:p>
          <w:p>
            <w:pPr>
              <w:pStyle w:val="41"/>
              <w:jc w:val="both"/>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rPr>
              <w:t>联系电话：</w:t>
            </w:r>
            <w:r>
              <w:rPr>
                <w:rFonts w:hint="eastAsia" w:ascii="宋体" w:hAnsi="宋体" w:eastAsia="宋体" w:cs="宋体"/>
                <w:b w:val="0"/>
                <w:color w:val="auto"/>
                <w:kern w:val="2"/>
                <w:sz w:val="24"/>
                <w:szCs w:val="24"/>
                <w:highlight w:val="none"/>
                <w:u w:val="single"/>
                <w:lang w:val="en-US" w:eastAsia="zh-CN"/>
              </w:rPr>
              <w:t>19855252000</w:t>
            </w:r>
          </w:p>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kern w:val="2"/>
                <w:sz w:val="24"/>
                <w:szCs w:val="24"/>
                <w:highlight w:val="none"/>
              </w:rPr>
              <w:t>通讯地址：</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u w:val="single"/>
                <w:lang w:val="en-US" w:eastAsia="zh-CN"/>
              </w:rPr>
              <w:t xml:space="preserve">安徽省淮北市相山区长山路西侧CZ—1幢2层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30</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其他内容</w:t>
            </w:r>
          </w:p>
        </w:tc>
        <w:tc>
          <w:tcPr>
            <w:tcW w:w="5915" w:type="dxa"/>
            <w:vAlign w:val="center"/>
          </w:tcPr>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1.解释权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（4）除磋商文件中有特别规定外，仅适用于磋商及响应文件提交阶段的规定，按竞争性磋商公告、磋商邀请、供应商须知、评审方法和标准、响应文件格式的先后顺序解释；</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31</w:t>
            </w:r>
          </w:p>
        </w:tc>
        <w:tc>
          <w:tcPr>
            <w:tcW w:w="2227" w:type="dxa"/>
            <w:vAlign w:val="center"/>
          </w:tcPr>
          <w:p>
            <w:pPr>
              <w:pStyle w:val="41"/>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kern w:val="2"/>
                <w:sz w:val="24"/>
                <w:szCs w:val="24"/>
                <w:highlight w:val="none"/>
              </w:rPr>
              <w:t>招标特别说明</w:t>
            </w:r>
            <w:r>
              <w:rPr>
                <w:rFonts w:hint="eastAsia" w:ascii="宋体" w:hAnsi="宋体" w:eastAsia="宋体" w:cs="宋体"/>
                <w:b w:val="0"/>
                <w:color w:val="auto"/>
                <w:kern w:val="2"/>
                <w:sz w:val="24"/>
                <w:szCs w:val="24"/>
                <w:highlight w:val="none"/>
                <w:lang w:val="en-US" w:eastAsia="zh-CN"/>
              </w:rPr>
              <w:t>1</w:t>
            </w:r>
          </w:p>
        </w:tc>
        <w:tc>
          <w:tcPr>
            <w:tcW w:w="5915" w:type="dxa"/>
            <w:vAlign w:val="center"/>
          </w:tcPr>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1、投标人提交的投标文件应当全部使用招标文件所要求的投标文件格式，制作投标文件。</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2、在编制磋商响应文件时，以采购人最后发出的磋商采购文件为准进行磋商响应文件编制；</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pacing w:val="-2"/>
                <w:sz w:val="24"/>
                <w:szCs w:val="24"/>
                <w:highlight w:val="none"/>
                <w:lang w:val="en-US" w:eastAsia="zh-CN"/>
              </w:rPr>
              <w:t>现场递交</w:t>
            </w:r>
            <w:r>
              <w:rPr>
                <w:rFonts w:hint="eastAsia" w:ascii="宋体" w:hAnsi="宋体" w:eastAsia="宋体" w:cs="宋体"/>
                <w:color w:val="auto"/>
                <w:spacing w:val="-1"/>
                <w:sz w:val="24"/>
                <w:szCs w:val="24"/>
                <w:highlight w:val="none"/>
              </w:rPr>
              <w:t>磋商响应文件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响应文件份数：一正三副，加电子U盘一份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0" w:type="dxa"/>
            <w:vAlign w:val="center"/>
          </w:tcPr>
          <w:p>
            <w:pPr>
              <w:pStyle w:val="42"/>
              <w:pBdr>
                <w:bottom w:val="none" w:color="auto" w:sz="0" w:space="0"/>
              </w:pBdr>
              <w:tabs>
                <w:tab w:val="clear" w:pos="4153"/>
                <w:tab w:val="clear" w:pos="8306"/>
              </w:tabs>
              <w:adjustRightInd/>
              <w:spacing w:line="360" w:lineRule="auto"/>
              <w:textAlignment w:val="auto"/>
              <w:rPr>
                <w:rFonts w:hint="default"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2227" w:type="dxa"/>
            <w:vAlign w:val="center"/>
          </w:tcPr>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b w:val="0"/>
                <w:color w:val="auto"/>
                <w:kern w:val="2"/>
                <w:sz w:val="24"/>
                <w:szCs w:val="24"/>
                <w:highlight w:val="none"/>
              </w:rPr>
              <w:t>招标特别说明</w:t>
            </w:r>
            <w:r>
              <w:rPr>
                <w:rFonts w:hint="eastAsia" w:ascii="宋体" w:hAnsi="宋体" w:eastAsia="宋体" w:cs="宋体"/>
                <w:b w:val="0"/>
                <w:color w:val="auto"/>
                <w:kern w:val="2"/>
                <w:sz w:val="24"/>
                <w:szCs w:val="24"/>
                <w:highlight w:val="none"/>
                <w:lang w:val="en-US" w:eastAsia="zh-CN"/>
              </w:rPr>
              <w:t>2</w:t>
            </w:r>
          </w:p>
        </w:tc>
        <w:tc>
          <w:tcPr>
            <w:tcW w:w="5915" w:type="dxa"/>
            <w:vAlign w:val="center"/>
          </w:tcPr>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（1）成交供应商应在成交公示结束后3工作日内领取《成交通知书》，若成交供应商未在规定期限内领取《成交通知书》，采购人有权取消成交供应商成交资格，并将相关违约行为报送监管部门，实施信用惩戒；</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成交供应商应在领取《成交通知书》7工作日内提交履约担保并与采购人签订合同，若成交供应商未能在规定期限内提交履约担保或签订合同，采购人有权取消成交供应商成交资格，并将相关违约行为报送监管部门，实施信用惩戒；</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合同签订后，成交供应商存在规定时间内不组织人员进场开工，不履行供货、安装或服务义务等情况，采购人有权解除合同，并追究违约责任，同时将相关违约行为报送监管部门，记不良行为记录，实施信用惩戒；</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（4）成交供应商成交后被监管部门查实存在违法行为，不满足成交条件的，由采购人取消成交资格，并做好项目后续工作；</w:t>
            </w:r>
          </w:p>
          <w:p>
            <w:pPr>
              <w:spacing w:line="420" w:lineRule="exac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（5）成交供应商在成交项目发生投诉、信访举报案件、履约存在争议时，拒绝协助配合执法部门调查案件的，采购人可以取消其成交资格或解除合同，并追究其违约责任。</w:t>
            </w:r>
          </w:p>
        </w:tc>
      </w:tr>
    </w:tbl>
    <w:p>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58" w:name="_Toc27470"/>
      <w:bookmarkStart w:id="59" w:name="_Toc14293"/>
      <w:r>
        <w:rPr>
          <w:rFonts w:hint="eastAsia" w:ascii="宋体" w:hAnsi="宋体" w:eastAsia="宋体" w:cs="宋体"/>
          <w:b/>
          <w:color w:val="auto"/>
          <w:sz w:val="24"/>
          <w:highlight w:val="none"/>
        </w:rPr>
        <w:t>二、供应商须知正文</w:t>
      </w:r>
      <w:bookmarkEnd w:id="58"/>
      <w:bookmarkEnd w:id="59"/>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1.采购人、采购代理机构及供应商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1.1采购人：是指依法开展政府采购活动的国家机关、事业单位、团体组织。</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1.2采购代理机构：是指集中采购机构或从事采购代理业务的社会中介机构。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1.3政府采购监督管理部门：各级人民政府指定的有关部门依法履行与政府采购活动有关的监督管理职责。</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供应商：是指向采购人提供货物、工程或者服务的法人、其他组织或者自然人。分支机构不得参加政府采购活动，但银行、保险、石油石化、电力、电信等特殊行业除外。本项目的供应商及其所投货物须满足以下条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1.4.1具备《中华人民共和国政府采购法》第二十二条关于供应商条件的规定，遵守本项目采购人本级和上级财政部门政府采购的有关规定。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1.4.2以采购代理机构认可的方式获得了本项目的磋商文件。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1.4.3若采购需求中写明允许采购进口产品，供应商应保证所投产品可履行合法报通关手续进入中国关境内。</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若采购需求中未写明允许采购进口产品，如供应商所投产品为进口产品，其响应文件将被认定为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bookmarkStart w:id="60" w:name="_Hlk60607583"/>
      <w:r>
        <w:rPr>
          <w:rFonts w:hint="eastAsia" w:ascii="宋体" w:hAnsi="宋体" w:eastAsia="宋体" w:cs="宋体"/>
          <w:bCs/>
          <w:color w:val="auto"/>
          <w:kern w:val="0"/>
          <w:sz w:val="24"/>
          <w:szCs w:val="28"/>
          <w:highlight w:val="none"/>
        </w:rPr>
        <w:t>1.5若竞争性磋商公告中允许联合体参加磋商，对联合体规定如下：</w:t>
      </w:r>
    </w:p>
    <w:bookmarkEnd w:id="60"/>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1.5.1两个以上供应商可以组成一个磋商联合体，以一个供应商的身份磋商。联合体参加磋商的，磋商文件获取手续由联合体中任一成员单位办理均可。</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1.5.2联合体各方均应符合《中华人民共和国政府采购法》第二十二条规定的条件。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1.5.3采购人根据采购项目对供应商的特殊要求，联合体中至少应当有一方符合相关规定。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1.5.4联合体各方应签订联合协议，明确约定联合体各方承担的工作和相应的责任，并将联合协议作为响应文件的一部分提交。</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1.5.5大中型企业、其他自然人、法人或者非法人组织与小型、微型企业组成联合体共同参加磋商，联合协议中应写明小型、微型企业的协议合同金额占到联合协议合同总金额的比例。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1.5.6联合体中有同类资质的供应商按照联合体分工承担相同工作的，应当按照资质等级较低的供应商确定资质等级。</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1.5.7以联合体形式参加政府采购活动的，联合体各方不得再单独参加或者与其他供应商另外组成联合体参加本项目磋商，否则相关响应文件将被认定为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1.5.8对联合体参加磋商的其他资格要求见申请人的资格要求。</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2.资金落实情况</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2.1本项目的采购人已获得足以支付本次磋商后所签订的合同项下的资金。</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3.磋商费用</w:t>
      </w:r>
    </w:p>
    <w:p>
      <w:pP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不论磋商的结果如何，供应商应承担其所有与准备和参加磋商有关的费用</w:t>
      </w:r>
    </w:p>
    <w:p>
      <w:pPr>
        <w:spacing w:line="360" w:lineRule="auto"/>
        <w:ind w:firstLine="482" w:firstLineChars="200"/>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4.适用法律</w:t>
      </w:r>
    </w:p>
    <w:p>
      <w:pP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5.磋商文件构成</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5.1磋商文件包括下列内容：</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磋商邀请</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政府采购供应商询问函和质疑函范本</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5.2现场考察及相关事项见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5.3供应商应认真阅读磋商文件所有的事项、格式、条款和技术规范等。</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6.磋商文件的澄清与修改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6.1供应商如对磋商文件内容有疑问，必须在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规定的提问形式提交给采购代理机构。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6.2采购人可主动地或在答复供应商提出的询问时对磋商文件进行澄清与修改。采购代理机构将在</w:t>
      </w:r>
      <w:r>
        <w:rPr>
          <w:rFonts w:hint="eastAsia" w:ascii="宋体" w:hAnsi="宋体" w:eastAsia="宋体" w:cs="宋体"/>
          <w:color w:val="auto"/>
          <w:sz w:val="24"/>
        </w:rPr>
        <w:t>在</w:t>
      </w:r>
      <w:r>
        <w:rPr>
          <w:rFonts w:hint="eastAsia" w:ascii="宋体" w:hAnsi="宋体" w:eastAsia="宋体" w:cs="宋体"/>
          <w:color w:val="auto"/>
          <w:sz w:val="24"/>
          <w:lang w:eastAsia="zh-CN"/>
        </w:rPr>
        <w:t>安徽省招标投标信息网</w:t>
      </w:r>
      <w:r>
        <w:rPr>
          <w:rFonts w:hint="eastAsia" w:ascii="宋体" w:hAnsi="宋体" w:eastAsia="宋体" w:cs="宋体"/>
          <w:color w:val="auto"/>
          <w:sz w:val="24"/>
          <w:szCs w:val="18"/>
          <w:lang w:val="en-US" w:eastAsia="zh-CN"/>
        </w:rPr>
        <w:t>网站</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发布更正公告的方式澄清或者修改磋商文件，更正公告的内容作为磋商文件的组成部分，对供应商起约束作用。供应商应主动上网查询。采购代理机构不承担供应商未及时关注相关信息引发的相关责任。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6.4对于没有提出询问又参与了本项目磋商的供应商将被视为完全认同本磋商文件（含更正公告的内容）。</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7.磋商范围及响应文件中标准和计量单位的使用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7.1项目有分包的，供应商可参与其中某一个或多个分包的磋商，成交包数详见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w:t>
      </w:r>
    </w:p>
    <w:p>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7.2 供应商应当对所投分包磋商文件中“采购需求”所列的所有内容进行响应，如仅响应所投包别中的部分内容，其所投包别的响应将被认定为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7.3无论磋商文件中是否要求，供应商所投货物及伴随的服务和工程均应符合国家强制性标准。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7.5除磋商文件中有特殊要求外，响应文件中所使用的计量单位，应采用中华人民共和国法定计量单位。</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8.响应文件构成</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8.1供应商应完整地按磋商文件提供的响应文件格式及要求编写响应文件，具体内容详见本项目响应文件格式的相关内容。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8.2供应商应提交磋商文件要求的证明文件，证明其响应内容符合磋商文件规定，该证明文件是响应文件的一部分。证明文件形式可以是文字资料、图纸和数据等。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8.3为保证公平公正，除非另有规定或说明，供应商对同一项目磋商时，不得同时提供备选磋商方案。</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9.1供应商的报价应当包括满足本次磋商全部采购需求所应提供的货物，以及伴随的服务和工程。除磋商文件另有规定外，所有内容均应以人民币报价，供应商的磋商报价应遵守《中华人民共和国价格法》。</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9.2除非磋商文件另有规定或经采购人同意支付的，最后报价均不得高于磋商文件（公告）列明的项目预算，否则其响应文件将被认定为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9.3报价在合同履行过程中是固定不变的，不得以任何理由予以变更。任何包含价格调整要求的磋商，其响应文件将被认定为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9.4采购人不接受具有附加条件的报价。</w:t>
      </w:r>
    </w:p>
    <w:p>
      <w:pPr>
        <w:spacing w:line="360" w:lineRule="auto"/>
        <w:ind w:firstLine="437"/>
        <w:outlineLvl w:val="2"/>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24"/>
          <w:highlight w:val="none"/>
        </w:rPr>
        <w:t>10.磋商保证金</w:t>
      </w:r>
      <w:r>
        <w:rPr>
          <w:rFonts w:hint="eastAsia" w:ascii="宋体" w:hAnsi="宋体" w:eastAsia="宋体" w:cs="宋体"/>
          <w:b/>
          <w:color w:val="auto"/>
          <w:sz w:val="24"/>
          <w:highlight w:val="none"/>
          <w:lang w:eastAsia="zh-CN"/>
        </w:rPr>
        <w:t>：</w:t>
      </w:r>
      <w:r>
        <w:rPr>
          <w:rFonts w:hint="eastAsia" w:ascii="宋体" w:hAnsi="宋体" w:eastAsia="宋体" w:cs="宋体"/>
          <w:b/>
          <w:bCs/>
          <w:color w:val="auto"/>
          <w:sz w:val="24"/>
          <w:highlight w:val="none"/>
          <w:lang w:val="en-US" w:eastAsia="zh-CN"/>
        </w:rPr>
        <w:t>免收</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11.磋商有效期</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11.1磋商有效期为从响应文件提交截止之日算起的日历天数，磋商有效期详见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11.2在磋商有效期内，供应商的磋商保持有效，供应商不得要求撤销或修改其响应文件。磋商有效期不满足要求的响应，其响应文件将被认定为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12.响应文件的提交、修改与</w:t>
      </w:r>
      <w:r>
        <w:rPr>
          <w:rFonts w:hint="eastAsia" w:ascii="宋体" w:hAnsi="宋体" w:eastAsia="宋体" w:cs="宋体"/>
          <w:b/>
          <w:color w:val="auto"/>
          <w:sz w:val="24"/>
          <w:highlight w:val="none"/>
          <w:lang w:val="en-US" w:eastAsia="zh-CN"/>
        </w:rPr>
        <w:t>撤回</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12.1供应商应当在第一章竞争性磋商公告规定的响应文件提交截止时间前，</w:t>
      </w:r>
      <w:r>
        <w:rPr>
          <w:rFonts w:hint="eastAsia" w:ascii="宋体" w:hAnsi="宋体" w:eastAsia="宋体" w:cs="宋体"/>
          <w:color w:val="auto"/>
          <w:sz w:val="24"/>
          <w:highlight w:val="none"/>
          <w:lang w:val="en-US" w:eastAsia="zh-CN"/>
        </w:rPr>
        <w:t>现场递交响应文件</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12.2供应商应当在响应文件提交截止时间前完成响应文件的</w:t>
      </w:r>
      <w:r>
        <w:rPr>
          <w:rFonts w:hint="eastAsia" w:ascii="宋体" w:hAnsi="宋体" w:eastAsia="宋体" w:cs="宋体"/>
          <w:color w:val="auto"/>
          <w:sz w:val="24"/>
          <w:highlight w:val="none"/>
          <w:lang w:val="en-US" w:eastAsia="zh-CN"/>
        </w:rPr>
        <w:t>现场</w:t>
      </w:r>
      <w:r>
        <w:rPr>
          <w:rFonts w:hint="eastAsia" w:ascii="宋体" w:hAnsi="宋体" w:eastAsia="宋体" w:cs="宋体"/>
          <w:color w:val="auto"/>
          <w:sz w:val="24"/>
          <w:highlight w:val="none"/>
        </w:rPr>
        <w:t>提交（以接收到</w:t>
      </w:r>
      <w:r>
        <w:rPr>
          <w:rFonts w:hint="eastAsia" w:ascii="宋体" w:hAnsi="宋体" w:eastAsia="宋体" w:cs="宋体"/>
          <w:color w:val="auto"/>
          <w:sz w:val="24"/>
          <w:highlight w:val="none"/>
          <w:lang w:val="en-US" w:eastAsia="zh-CN"/>
        </w:rPr>
        <w:t>纸质文件</w:t>
      </w:r>
      <w:r>
        <w:rPr>
          <w:rFonts w:hint="eastAsia" w:ascii="宋体" w:hAnsi="宋体" w:eastAsia="宋体" w:cs="宋体"/>
          <w:color w:val="auto"/>
          <w:sz w:val="24"/>
          <w:highlight w:val="none"/>
        </w:rPr>
        <w:t>为准），并可以补充、修改或者撤回响应文件。响应文件提交截止时间前未完成响应文件</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sz w:val="24"/>
          <w:highlight w:val="none"/>
        </w:rPr>
        <w:t>的，视为撤回响应文件。未按规定响应文件提交截止时间后送达的响应文件，应当拒收。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12.3供应商应在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规定的时间前</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sz w:val="24"/>
          <w:highlight w:val="none"/>
        </w:rPr>
        <w:t>响应文件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未在规定时间内</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sz w:val="24"/>
          <w:highlight w:val="none"/>
        </w:rPr>
        <w:t>的，</w:t>
      </w:r>
      <w:r>
        <w:rPr>
          <w:rFonts w:hint="eastAsia" w:ascii="宋体" w:hAnsi="宋体" w:eastAsia="宋体" w:cs="宋体"/>
          <w:b/>
          <w:bCs/>
          <w:color w:val="auto"/>
          <w:sz w:val="24"/>
          <w:highlight w:val="none"/>
        </w:rPr>
        <w:t>响应无效。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12.4在响应文件提交截止时间之后，供应商不得对其响应文件做任何修改。但属于磋商小组在评审中发现的计算错误并进行核实的修改、按照磋商文件的变动情况和磋商小组的要求重新提交响应文件的，不在此列。</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13.磋商小组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13.1本项目将依法组建磋商小组，磋商小组成员由3人以上（含）单数组成，磋商小组及其成员应当依照政府采购的有关规定履行相关职责和义务。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13.2磋商小组依法对响应文件进行评审，并根据磋商文件规定的程序、评定成交的标准等事项与实质性响应磋商文件要求的供应商进行磋商。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13.3磋商小组应当从质量和服务均能满足磋商文件实质性响应要求的供应商中，按照评审方法和标准推荐成交候选供应商，并编写评审报告。</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14.响应文件的评审与磋商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14.1采购人和采购代理机构将在竞争性磋商公告规定的时间和地点组织磋商。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14.2竞争性磋商活动采用综合评分法评审。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14.3磋商小组将按照磋商文件规定的评审方法和标准对供应商独立进行评审。评审程序如下：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。磋商小组对供应商必须满足和实质性响应的内容进行评审，供应商未实质性响应磋商文件要求导致响应无效的，磋商小组将以书面询标的方式告知有关供应商。</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投标供应商应</w:t>
      </w:r>
      <w:r>
        <w:rPr>
          <w:rFonts w:hint="eastAsia" w:ascii="宋体" w:hAnsi="宋体" w:eastAsia="宋体" w:cs="宋体"/>
          <w:color w:val="auto"/>
          <w:sz w:val="24"/>
          <w:highlight w:val="none"/>
        </w:rPr>
        <w:t>在响应文件</w:t>
      </w:r>
      <w:r>
        <w:rPr>
          <w:rFonts w:hint="eastAsia" w:ascii="宋体" w:hAnsi="宋体" w:eastAsia="宋体" w:cs="宋体"/>
          <w:color w:val="auto"/>
          <w:sz w:val="24"/>
          <w:highlight w:val="none"/>
          <w:lang w:val="en-US" w:eastAsia="zh-CN"/>
        </w:rPr>
        <w:t>中</w:t>
      </w:r>
      <w:r>
        <w:rPr>
          <w:rFonts w:hint="eastAsia" w:ascii="宋体" w:hAnsi="宋体" w:eastAsia="宋体" w:cs="宋体"/>
          <w:color w:val="auto"/>
          <w:sz w:val="24"/>
          <w:highlight w:val="none"/>
        </w:rPr>
        <w:t>提交</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lang w:val="en-US" w:eastAsia="zh-CN"/>
        </w:rPr>
        <w:t>前查询的</w:t>
      </w:r>
      <w:r>
        <w:rPr>
          <w:rFonts w:hint="eastAsia" w:ascii="宋体" w:hAnsi="宋体" w:eastAsia="宋体" w:cs="宋体"/>
          <w:color w:val="auto"/>
          <w:sz w:val="24"/>
          <w:highlight w:val="none"/>
        </w:rPr>
        <w:t>“信用中国”网站(www.creditchina.gov.cn)、中国政府采购网(www.ccgp.gov.cn)查询信用记录</w:t>
      </w:r>
      <w:r>
        <w:rPr>
          <w:rFonts w:hint="eastAsia" w:ascii="宋体" w:hAnsi="宋体" w:eastAsia="宋体" w:cs="宋体"/>
          <w:color w:val="auto"/>
          <w:sz w:val="24"/>
          <w:highlight w:val="none"/>
          <w:lang w:val="en-US" w:eastAsia="zh-CN"/>
        </w:rPr>
        <w:t>截图</w:t>
      </w:r>
      <w:r>
        <w:rPr>
          <w:rFonts w:hint="eastAsia" w:ascii="宋体" w:hAnsi="宋体" w:eastAsia="宋体" w:cs="宋体"/>
          <w:color w:val="auto"/>
          <w:sz w:val="24"/>
          <w:highlight w:val="none"/>
        </w:rPr>
        <w:t>，对列入“信用中国”网站(www.creditchina.gov.cn)失信被</w:t>
      </w:r>
      <w:r>
        <w:rPr>
          <w:rFonts w:hint="eastAsia" w:ascii="宋体" w:hAnsi="宋体" w:eastAsia="宋体" w:cs="宋体"/>
          <w:color w:val="auto"/>
          <w:sz w:val="24"/>
          <w:szCs w:val="24"/>
          <w:highlight w:val="none"/>
        </w:rPr>
        <w:t>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。初审合格后，磋商小组将按响应文件提交顺序集中与单一供应商分别进行磋商，并给予所有参加磋商的供应商平等的磋商机会。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14.3.3</w:t>
      </w:r>
      <w:r>
        <w:rPr>
          <w:rFonts w:hint="eastAsia" w:ascii="宋体" w:hAnsi="宋体" w:eastAsia="宋体" w:cs="宋体"/>
          <w:b/>
          <w:color w:val="auto"/>
          <w:sz w:val="24"/>
          <w:highlight w:val="none"/>
        </w:rPr>
        <w:t>报价</w:t>
      </w:r>
      <w:r>
        <w:rPr>
          <w:rFonts w:hint="eastAsia" w:ascii="宋体" w:hAnsi="宋体" w:eastAsia="宋体" w:cs="宋体"/>
          <w:color w:val="auto"/>
          <w:sz w:val="24"/>
          <w:highlight w:val="none"/>
        </w:rPr>
        <w:t>。磋商结束后，磋商小组应当要求所有实质性响应的供应商在规定时间内提交最后报价。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14.3.4</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14.4相关说明。</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14.4.1为保证磋商活动顺利进行，供应商可派相关技术人员进行答疑；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14.4.4无论何种原因，即使供应商磋商时携带了证书材料的原件，但响应文件中未提供与之内容完全一致的扫描件的，磋商小组可以视同其未提供。</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14.4.5磋商小组决定响应文件的响应性及符合性只根据响应文件本身的内容，而不寻求其他外部证据。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14.5供应商授权代表对磋商过程有疑义，以及认为采购人、采购代理机构相关工作人员有需要回避的情形的，应当场提出询问或者回避申请，并说明理由。 </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15.终止竞争性磋商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15.1出现下列情况之一时，采购人和采购代理机构有权宣布终止竞争性磋商采购，并将理由通知所有供应商：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（1）有效供应商数量不足，导致本次磋商缺乏竞争的；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（3）因重大变故，采购任务取消的；</w:t>
      </w:r>
    </w:p>
    <w:p>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（4）政府采购法律法规规定的其他情形。</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16.响应文件的澄清、说明或更正</w:t>
      </w:r>
    </w:p>
    <w:p>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b/>
          <w:color w:val="auto"/>
          <w:sz w:val="24"/>
          <w:highlight w:val="none"/>
        </w:rPr>
        <w:t>如有询标，授权代表（或法定代表人）接受询标，也可凭本人有效身份证明参加询标。因授权代表联系不上</w:t>
      </w:r>
      <w:r>
        <w:rPr>
          <w:rFonts w:hint="eastAsia" w:ascii="宋体" w:hAnsi="宋体" w:eastAsia="宋体" w:cs="宋体"/>
          <w:b/>
          <w:bCs/>
          <w:color w:val="auto"/>
          <w:sz w:val="24"/>
          <w:highlight w:val="none"/>
        </w:rPr>
        <w:t>、没有及时</w:t>
      </w:r>
      <w:r>
        <w:rPr>
          <w:rFonts w:hint="eastAsia" w:ascii="宋体" w:hAnsi="宋体" w:eastAsia="宋体" w:cs="宋体"/>
          <w:b/>
          <w:color w:val="auto"/>
          <w:sz w:val="24"/>
          <w:highlight w:val="none"/>
        </w:rPr>
        <w:t>接受磋商小组询标的，供应商自行承担相关风险。</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17.最后报价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17.1磋商并不限定只进行二轮报价，如果磋商小组认为有必要，可以要求供应商进行多轮报价。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17.2在磋商内容不做实质性变更或重大调整的前提下，供应商下轮报价不得高于上一轮报价。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17.3最后报价是供应商响应文件的有效组成部分，最后报价也是签订合同的依据。</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18.成交候选供应商的推荐原则及标准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19.确定成交候选供应商和成交供应商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19.1磋商小组根据综合评分的结果和</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中规定确定成交候选供应商，并标明排列顺序。按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中规定，由磋商小组或采购人确定成交供应商。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20.编写评审报告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21.保密要求</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21.1评审将在严格保密的情况下进行。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21.2有关人员应当遵守评审工作纪律，不得泄露评审文件、评审情况和评审中获悉的国家秘密、商业秘密。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22.成交结果公告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22.1为体现“公开、公平、公正”的原则，磋商结束后，</w:t>
      </w:r>
      <w:r>
        <w:rPr>
          <w:rFonts w:hint="eastAsia" w:ascii="宋体" w:hAnsi="宋体" w:eastAsia="宋体" w:cs="宋体"/>
          <w:color w:val="auto"/>
          <w:sz w:val="24"/>
          <w:szCs w:val="18"/>
          <w:highlight w:val="none"/>
        </w:rPr>
        <w:t>采购代理机构将在</w:t>
      </w:r>
      <w:r>
        <w:rPr>
          <w:rFonts w:hint="eastAsia" w:ascii="宋体" w:hAnsi="宋体" w:eastAsia="宋体" w:cs="宋体"/>
          <w:color w:val="auto"/>
          <w:sz w:val="24"/>
        </w:rPr>
        <w:t>在</w:t>
      </w:r>
      <w:r>
        <w:rPr>
          <w:rFonts w:hint="eastAsia" w:ascii="宋体" w:hAnsi="宋体" w:eastAsia="宋体" w:cs="宋体"/>
          <w:color w:val="auto"/>
          <w:sz w:val="24"/>
          <w:szCs w:val="18"/>
          <w:lang w:eastAsia="zh-CN"/>
        </w:rPr>
        <w:t>淮北市人力资源和社会保障局</w:t>
      </w:r>
      <w:r>
        <w:rPr>
          <w:rFonts w:hint="eastAsia" w:ascii="宋体" w:hAnsi="宋体" w:eastAsia="宋体" w:cs="宋体"/>
          <w:color w:val="auto"/>
          <w:sz w:val="24"/>
          <w:szCs w:val="18"/>
          <w:lang w:val="en-US" w:eastAsia="zh-CN"/>
        </w:rPr>
        <w:t>网站</w:t>
      </w:r>
      <w:r>
        <w:rPr>
          <w:rFonts w:hint="eastAsia" w:ascii="宋体" w:hAnsi="宋体" w:eastAsia="宋体" w:cs="宋体"/>
          <w:color w:val="auto"/>
          <w:sz w:val="24"/>
          <w:highlight w:val="none"/>
        </w:rPr>
        <w:t>上发布成交结果公告。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中约定进行公告的内容。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22.3成交结果公告</w:t>
      </w:r>
      <w:r>
        <w:rPr>
          <w:rFonts w:hint="eastAsia" w:ascii="宋体" w:hAnsi="宋体" w:eastAsia="宋体" w:cs="宋体"/>
          <w:color w:val="auto"/>
          <w:sz w:val="24"/>
          <w:highlight w:val="none"/>
        </w:rPr>
        <w:t>期满后，</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在收到招标人或代理机构的办理《成交通知书》的通知后， 应在</w:t>
      </w:r>
      <w:r>
        <w:rPr>
          <w:rFonts w:hint="eastAsia" w:ascii="宋体" w:hAnsi="宋体" w:eastAsia="宋体" w:cs="宋体"/>
          <w:color w:val="auto"/>
          <w:sz w:val="24"/>
          <w:highlight w:val="none"/>
          <w:lang w:val="en-US" w:eastAsia="zh-CN"/>
        </w:rPr>
        <w:t>3个工作</w:t>
      </w:r>
      <w:r>
        <w:rPr>
          <w:rFonts w:hint="eastAsia" w:ascii="宋体" w:hAnsi="宋体" w:eastAsia="宋体" w:cs="宋体"/>
          <w:color w:val="auto"/>
          <w:sz w:val="24"/>
          <w:highlight w:val="none"/>
        </w:rPr>
        <w:t>日内办理完成领取《成交通知书》所需的交易费等相关费用，领取《成交通知书》，未按本规定办理视为自动放弃中标。</w:t>
      </w:r>
      <w:r>
        <w:rPr>
          <w:rFonts w:hint="eastAsia" w:ascii="宋体" w:hAnsi="宋体" w:eastAsia="宋体" w:cs="宋体"/>
          <w:color w:val="auto"/>
          <w:sz w:val="24"/>
          <w:highlight w:val="none"/>
          <w:lang w:val="en-US" w:eastAsia="zh-CN"/>
        </w:rPr>
        <w:t>采购人有权取消成交供应商成交资格，并将相关违约行为报送监管部门，实施信用惩戒。</w:t>
      </w: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23.成交通知书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23.1采购代理机构发布成交结果公告的同时以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规定的形式向成交供应商发出成交通知书。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23.2成交通知书对采购人和成交供应商具有同等法律效力。成交通知书发出以后，采购人改变成交结果或者成交供应商放弃成交资格，应当承担相应的法律责任。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23.3成交通知书是合同的组成部分。</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24.告知磋商结果</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24.1在公告成交结果的同时，采购代理机构同时以</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规定的形式告知未成交供应商本人的评审得分和排序。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24.2采购代理机构对未成交的供应商不做未成交原因的解释。</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25.1成交供应商应按照</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规定缴纳履约保证金。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25.2如果成交供应商没有按照上述履约保证金的规定执行，将视为放弃成交资格。在此情况下，采购人可确定下一成交候选供应商为成交供应商，也可以重新开展采购活动。</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26.代理费用</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26.1本项目代理费用的收取按</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的规定执行。</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27.签订合同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规定的时间内完成合同签订。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27.2磋商文件、成交供应商的响应文件及其澄清文件等，均为签订合同的依据。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28.廉洁自律规定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28.1采购代理机构工作人员不得以不正当手段获取政府采购代理业务，不得与采购人、供应商恶意串通。</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28.2采购代理机构工作人员不得接受采购人或者供应商组织的宴请、旅游、娱乐，不得收受礼品、现金、有价证券等，不得向采购人或者供应商报销应当由个人承担的费用。</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29.质疑的提出与接收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29.3采购代理机构质疑函接收部门、联系电话和通讯地址，见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注：上述条款中所要求的书面形式包含通过电子交易系统递交方式。</w:t>
      </w:r>
    </w:p>
    <w:p>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30.需要补充的其他内容</w:t>
      </w:r>
    </w:p>
    <w:p>
      <w:pPr>
        <w:spacing w:line="360" w:lineRule="auto"/>
        <w:ind w:firstLine="437"/>
        <w:outlineLvl w:val="2"/>
        <w:rPr>
          <w:rFonts w:hint="eastAsia" w:ascii="宋体" w:hAnsi="宋体" w:eastAsia="宋体" w:cs="宋体"/>
          <w:b/>
          <w:color w:val="auto"/>
          <w:sz w:val="28"/>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br w:type="page"/>
      </w:r>
    </w:p>
    <w:p>
      <w:pPr>
        <w:spacing w:line="360" w:lineRule="auto"/>
        <w:jc w:val="center"/>
        <w:outlineLvl w:val="0"/>
        <w:rPr>
          <w:rFonts w:hint="eastAsia" w:ascii="宋体" w:hAnsi="宋体" w:eastAsia="宋体" w:cs="宋体"/>
          <w:b/>
          <w:color w:val="auto"/>
          <w:sz w:val="28"/>
          <w:highlight w:val="none"/>
        </w:rPr>
      </w:pPr>
      <w:bookmarkStart w:id="61" w:name="_Toc19440"/>
      <w:r>
        <w:rPr>
          <w:rFonts w:hint="eastAsia" w:ascii="宋体" w:hAnsi="宋体" w:eastAsia="宋体" w:cs="宋体"/>
          <w:b/>
          <w:color w:val="auto"/>
          <w:sz w:val="28"/>
          <w:highlight w:val="none"/>
        </w:rPr>
        <w:t>第三章  采购需求</w:t>
      </w:r>
      <w:bookmarkEnd w:id="61"/>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szCs w:val="36"/>
          <w:lang w:eastAsia="zh-CN"/>
        </w:rPr>
      </w:pPr>
      <w:bookmarkStart w:id="62" w:name="_Toc8668"/>
      <w:r>
        <w:rPr>
          <w:rFonts w:hint="eastAsia" w:ascii="黑体" w:hAnsi="黑体" w:eastAsia="黑体" w:cs="黑体"/>
          <w:b w:val="0"/>
          <w:bCs w:val="0"/>
          <w:sz w:val="28"/>
          <w:szCs w:val="36"/>
          <w:lang w:eastAsia="zh-CN"/>
        </w:rPr>
        <w:t>一、项目名称</w:t>
      </w:r>
    </w:p>
    <w:p>
      <w:pPr>
        <w:pStyle w:val="17"/>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color w:val="auto"/>
          <w:kern w:val="2"/>
          <w:sz w:val="24"/>
          <w:highlight w:val="none"/>
          <w:lang w:val="en-US" w:eastAsia="zh-CN" w:bidi="ar-SA"/>
        </w:rPr>
      </w:pPr>
      <w:r>
        <w:rPr>
          <w:rFonts w:hint="eastAsia" w:ascii="宋体" w:hAnsi="宋体" w:eastAsia="宋体" w:cs="宋体"/>
          <w:b w:val="0"/>
          <w:color w:val="auto"/>
          <w:kern w:val="2"/>
          <w:sz w:val="24"/>
          <w:highlight w:val="none"/>
          <w:lang w:val="en-US" w:eastAsia="zh-CN" w:bidi="ar-SA"/>
        </w:rPr>
        <w:t>淮北市人社局物业管理服务项目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szCs w:val="36"/>
          <w:lang w:eastAsia="zh-CN"/>
        </w:rPr>
      </w:pPr>
      <w:r>
        <w:rPr>
          <w:rFonts w:hint="eastAsia" w:ascii="黑体" w:hAnsi="黑体" w:eastAsia="黑体" w:cs="黑体"/>
          <w:b w:val="0"/>
          <w:bCs w:val="0"/>
          <w:sz w:val="28"/>
          <w:szCs w:val="36"/>
          <w:lang w:eastAsia="zh-CN"/>
        </w:rPr>
        <w:t>二、建设内容</w:t>
      </w:r>
    </w:p>
    <w:p>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服务内容：大楼的日常清洁、安保、公共设施维护。对大楼内所有消防设施进行定期维护、维修和检测，包括火灾自动报警系统、自动喷水灭火系统、室内外消火栓系统、防火分隔设施、应急照明疏散系统等。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三、人员配备</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一、管理服务人员配备</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项目管理部编员共 6人。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项目管理人员（物业经理）1名：实施项目综合管理，负责淮北市人社局办公大楼物业的正常运转以及规范管理。（</w:t>
      </w:r>
      <w:r>
        <w:rPr>
          <w:rFonts w:hint="eastAsia" w:ascii="宋体" w:hAnsi="宋体" w:eastAsia="宋体" w:cs="宋体"/>
          <w:color w:val="auto"/>
          <w:sz w:val="24"/>
          <w:highlight w:val="yellow"/>
          <w:lang w:val="en-US" w:eastAsia="zh-CN"/>
        </w:rPr>
        <w:t>物业经理</w:t>
      </w:r>
      <w:r>
        <w:rPr>
          <w:rFonts w:hint="eastAsia" w:ascii="宋体" w:hAnsi="宋体" w:eastAsia="宋体" w:cs="宋体"/>
          <w:color w:val="auto"/>
          <w:sz w:val="24"/>
          <w:highlight w:val="none"/>
          <w:lang w:val="en-US" w:eastAsia="zh-CN"/>
        </w:rPr>
        <w:t>费用由物业公司自行承担不含在报价内）保洁员 3人：负责办公大楼公共区域内的清洁卫生工作、负责垃圾外运。保安员 3 名：负责分发报纸信件、填写值班记录、整理快递物件；规范自行车电瓶车摆放；夜间值班人员做到巡查每个楼层，关闭防火门、楼梯窗户，关闭公共区域照明，关闭流水龙头，及时处理消防控制柜火警信息，发现安全隐患及时报告。</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二、项目管理运作方式</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本项目设置项目管理部，管理部配置项目经理 1 名，具体安排及全面督导日常各项服务工作，及时处理市人社局的诉求，并保持与市人社局有关人员的日常联系。项目管理部实行项目经理负责制的直线制领导形式，统一管辖区域内的一切物业管理服务。项目经理集指挥与职能于一身，全面掌握日常工作及人员状况，建立正常的考勤制度，减少失控。各项工作的安排及临时任务的下达，均由项目经理安排。</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三、项目管理服务人员管理方式</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物业管理服务人员受物业公司管理。市人社局对不能胜任物业管理服务工作的员工有权要求物业公司及时更换；对物业公司不能满足办公大楼保洁保安要求的，有权要求物业公司及时整改，按合同履行物业管理服务职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 付款方式</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每半年支付一次：每半年为一个支付周期，每个支付周期结束的次月15日前（如遇节假日顺延）支付服务款额。</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五、物业项目管理部各岗位员工的任职要求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（一）项目经理要求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（1）符合《劳动法》规定的相关要求，身体健康（需要县级或以上体检证明）；</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（2）同类项目管理经验 3 年以上，具有丰富的物业管理经验及在该岗位上获得相关单位给予的良好级或以上评价；</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（3）熟悉物业管理的相关政策与法规，对工作流程有一定的了解和管理能力；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（4）外表端庄，思路敏捷；</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（5）有良好的团队精神和沟通技巧；</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（6）有良好的指挥能力、语言交流能力和文字表达能力。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（二）保洁员要求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（1）符合《劳动法》规定的相关要求，身体健康（需要县级或以上体检证明）；</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（2）初中以上学历，通过保洁专业化培训；</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（3）熟悉物业的保洁工作流程，具备保洁经验；</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（4）细心、认真，能刻苦耐劳及承受工作压力。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（三）保安要求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（1）符合《劳动法》规定的相关要求，年龄60周岁以下，身体健康（需要县级或以上体检证明）；</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（2）初中以上学历；</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（3）体貌端正，具有较强的敬业精神；</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（4）作风正派、无前科（需当地派出所证明），站立挺拔；</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（5）具备保安、消防相关技能。</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六、项目管理具体要求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（一）保洁</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1、制订工作制度和标准,并依据制度和要求对工作质量进行考核。</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2、对范围内的场所进行日常动态清扫保洁,做到全天候全方位保洁。</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3、定期杀灭蚊、蝇、鼠,并做到无滋生源，定期对范围内的场所消毒。</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4、如遇突发事件或突击检查时,积极配合市人社局,搞好卫生工作,随叫随到。</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5、门口及大厅及走廊清洁要求：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（1）门窗(玻璃、窗框、窗台、门把手)无手印、无污渍,保持光洁明亮；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（2）地面、地脚线、指示牌、座地烟灰缸、垃圾桶无污迹、水迹、尘迹,保持光洁明亮；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（3）灯饰、通风口、空调风口、天花顶无蛛丝、无污尘；</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6、楼层公共区域部分清洁要求：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（1）指示牌、悬挂牌光洁明亮，保持消防通道无杂物；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（2）地面、墙面、消防器材、果皮箱、垃圾筒无污溃、无痰溃、无尘迹；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（3）天花吊顶、楼道/梯、送排风口等处无蜘蛛网和灰尘污渍；</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（4）门把、镜子无水溃、无印迹,明亮照人；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（5）楼道/梯等处无积水；</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7、会议室清洁要求：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（1）地面定时清理，无杂物；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（2）桌椅无尘迹污迹；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（3）玻璃、灯饰光洁明亮；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（4）空调、音响等设备摆放整齐、无尘迹污迹；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8、卫生间清洁要求：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（1）地面、墙面、门、窗、玻璃镜面、隔板、管道无灰尘污渍和其它杂物；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（2）小便器、坐厕、洗手盆无污溃、无积水、无垢、无臭,瓷器光洁明亮；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（3）保持下水管道水流畅通。</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9、垃圾清运要求：垃圾箱、筒的垃圾存量不超过上缘，每日清理二次，垃圾不在筒箱内过夜。</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10、以上未列明项目和要求由双方沟通决定。</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（二）保安</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1、按照大楼消防及安全制度中的规定，在消防维保公司的业务指导下对大楼实施值班和消防安全管理，建立完善的值班巡查及消防制度, 安全保卫及消防安全责任制和岗位责任制。建立每日防火巡查、登记制度。</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消防监控室设备操作人员必须按消防部门的要求，监控人员应熟练操作监控设备，协助维保公司进行月、年维护，保障疏散通道、安全出口，制止占用或堵塞行为，随时保持消防通道的畅通，做好值班记录及交接班。</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3、物业管理人员应掌握消防设施、设备、器材的使用方法,及时处理消防控制柜火警信息，发现安全隐患及时报告，并能及时处理各种初起火灾事故。</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4、负责办公大楼的巡查、守护，禁止无关人员进入；对出门的物资进行查问和登记；严禁推、促销人员和商贩进入叫卖；制止影响和干扰正常工作秩序的人和事；在规定时间内进行清场。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5、管理办公大楼门口车辆停放，保持人员出入通畅。</w:t>
      </w:r>
      <w:r>
        <w:rPr>
          <w:rFonts w:hint="eastAsia" w:ascii="宋体" w:hAnsi="宋体" w:eastAsia="宋体" w:cs="宋体"/>
          <w:color w:val="auto"/>
          <w:sz w:val="24"/>
          <w:highlight w:val="none"/>
          <w:lang w:val="en-US" w:eastAsia="zh-CN"/>
        </w:rPr>
        <w:tab/>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6、节假日期间，根据安排，做好相应的水电安全、安全保卫工作。</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（三）消防维保</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物业服务公司须委托具备资质的消防维保公司开展以下业务：</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1.负责对火灾自动报警系统、自动灭火水系统、室内外消火栓系统、防火分隔（防火卷帘、防火门）、应急照明疏散等共用消防设施的日常维护，确保其完好有效；</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2.每月开展对消防应急设施设备功能性测试检查，发现故障及时维修；</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3.每季度组织全面消防检查，发现隐患后立即整改并记录，并向局办公室报告消防管理情况，接受局办公室监督。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（四）物业管理制度与档案、资料管理</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1、建立资料的收集、分类整理、归档管理制度。</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2、在日常管理中要建立交接班、登记制度。</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3、档案资料包括：实施管理和服务工作中的各种制度、规程、记录、图表、函件等。</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（五）技术指标和服务质量要求</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1、卫生、清洁实行动态保洁,保洁率 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2、管理服务人员必须持有相应的上岗证、资格证,专业培训合格率 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3、投诉处理率 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4、人员服装由物业公司自行配备；事物业管理的各种工具、设备、洗涤、消毒用品及塑料垃圾袋由物业公司提供。</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5、物业公司对办公大楼的安全保卫负总责，全面负责办公大楼各区域的秩序维护及安全管理。</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6、保安人员保持至少 1 人 24 小时在岗值班。</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7、门厅楼梯、走道、卫生间等公共部位每天清扫、拖洗不少于两次（上下午上班前 10 分钟完成），达到地面无垃圾、灰尘、痰迹、污迹；卫生间无污迹、异味；墙面、天棚及附属物无污迹、灰尘、蜘蛛网，公共部位窗明洁净。</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8、做好门前车辆停放管理工作，保持人员出入通畅。</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9、接受市人社局的管理和监督，定期听取对物业管理的批评意见和建议，并及时整改。</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（六）管理目标</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 ISO9001：2000 质量管理体系运作，执行国家三级以上（含三级）行业物业管理标准，提供高质量高标准的服务。</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2、创优秀物业管理园区。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3、每半年进行一次满意率调查，满意率达到80%以上。</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无责任事故发生。物业管理公司要对所有工作人员进行法规、安全教育培训，对工作人员负管理责任，杜绝工作人员出现违法、违纪、违规行为，防止发生工作人员人身安全事故，出现以上情形由物业管理公司全权负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七、特别约定</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以下任一情况，视为物业管理公司违约，由此产生的任何问题及经济赔偿，物业管理公司全部负责。如果服务期内屡次发生以下情况，市人社局有权即时终止合同，物业管理公司负全责。</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1、在物业管理公司资质要求、证明材料以及各分项要求的专业资质（上岗）证书等材料上有弄虚作假行为。</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2、市人社局每半年进行一次满意度调查，满意率达不到80%以上，同时投诉处理率或违章处理率，没有达到100%。</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3、物业管理公司未为派驻的工作人员购买社会保险。</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4、物业管理公司工作人员违法、违纪、违规，对市人社局名誉造成不良影响或对工作人员造成精神、人身伤害。</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八、最终报价：</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1、人员工资和社保；</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2、合理利润、税金、保洁用品、服装及维修工具和保安服装器材。</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（1）人员工资不得低于淮北市现行最低标准（最低 2170元每月）。</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（2）保险按国家相关规定执行，成本核算时所有配备的人员都应计算保险部分（最低1086.34元每月），不得以使用年纪较大人员为由不予核算。</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（3）合理利润、税金、保洁用品、服装及维修工具、保安服装器材不得低于8%。</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九、服务时间</w:t>
      </w:r>
    </w:p>
    <w:p>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本项目服务期为一年。</w:t>
      </w:r>
    </w:p>
    <w:p>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评审方法和标准</w:t>
      </w:r>
      <w:bookmarkEnd w:id="62"/>
    </w:p>
    <w:p>
      <w:pPr>
        <w:spacing w:line="360" w:lineRule="auto"/>
        <w:ind w:firstLine="437"/>
        <w:outlineLvl w:val="1"/>
        <w:rPr>
          <w:rFonts w:hint="eastAsia" w:ascii="宋体" w:hAnsi="宋体" w:eastAsia="宋体" w:cs="宋体"/>
          <w:b/>
          <w:color w:val="auto"/>
          <w:sz w:val="24"/>
          <w:highlight w:val="none"/>
        </w:rPr>
      </w:pPr>
      <w:bookmarkStart w:id="63" w:name="_Toc21211"/>
      <w:bookmarkStart w:id="64" w:name="_Toc12199"/>
      <w:r>
        <w:rPr>
          <w:rFonts w:hint="eastAsia" w:ascii="宋体" w:hAnsi="宋体" w:eastAsia="宋体" w:cs="宋体"/>
          <w:b/>
          <w:color w:val="auto"/>
          <w:sz w:val="24"/>
          <w:highlight w:val="none"/>
        </w:rPr>
        <w:t>一、总则</w:t>
      </w:r>
      <w:bookmarkEnd w:id="63"/>
      <w:bookmarkEnd w:id="64"/>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供应商须知的相关要求及本章的规定评审。</w:t>
      </w:r>
    </w:p>
    <w:p>
      <w:pPr>
        <w:spacing w:line="360" w:lineRule="auto"/>
        <w:ind w:firstLine="437"/>
        <w:outlineLvl w:val="1"/>
        <w:rPr>
          <w:rFonts w:hint="eastAsia" w:ascii="宋体" w:hAnsi="宋体" w:eastAsia="宋体" w:cs="宋体"/>
          <w:b/>
          <w:color w:val="auto"/>
          <w:sz w:val="24"/>
          <w:highlight w:val="none"/>
        </w:rPr>
      </w:pPr>
      <w:bookmarkStart w:id="65" w:name="_Toc16885"/>
      <w:bookmarkStart w:id="66" w:name="_Toc13039"/>
      <w:r>
        <w:rPr>
          <w:rFonts w:hint="eastAsia" w:ascii="宋体" w:hAnsi="宋体" w:eastAsia="宋体" w:cs="宋体"/>
          <w:b/>
          <w:color w:val="auto"/>
          <w:sz w:val="24"/>
          <w:highlight w:val="none"/>
        </w:rPr>
        <w:t>二、评审方法</w:t>
      </w:r>
      <w:bookmarkEnd w:id="65"/>
      <w:bookmarkEnd w:id="66"/>
    </w:p>
    <w:p>
      <w:pPr>
        <w:spacing w:line="360" w:lineRule="auto"/>
        <w:ind w:firstLine="435"/>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磋商小组对供应商的响应文件进行初审，以确定其是否满足磋商文件的实质性要求。初审表如下：</w:t>
      </w:r>
    </w:p>
    <w:tbl>
      <w:tblPr>
        <w:tblStyle w:val="2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810"/>
        <w:gridCol w:w="5001"/>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07" w:type="dxa"/>
            <w:gridSpan w:val="4"/>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10" w:type="dxa"/>
            <w:tcBorders>
              <w:bottom w:val="single" w:color="auto" w:sz="4" w:space="0"/>
            </w:tcBorders>
            <w:vAlign w:val="center"/>
          </w:tcPr>
          <w:p>
            <w:pPr>
              <w:pStyle w:val="4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审查指标</w:t>
            </w:r>
          </w:p>
        </w:tc>
        <w:tc>
          <w:tcPr>
            <w:tcW w:w="5001"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审查标准</w:t>
            </w:r>
          </w:p>
        </w:tc>
        <w:tc>
          <w:tcPr>
            <w:tcW w:w="207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1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5001" w:type="dxa"/>
            <w:tcBorders>
              <w:bottom w:val="single" w:color="auto" w:sz="4" w:space="0"/>
            </w:tcBorders>
            <w:vAlign w:val="center"/>
          </w:tcPr>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（1）供应商为企业（包括合伙企业）的，应提供有效的营业执照；</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（2）供应商为事业单位的，应提供有效的事业单位法人证书；</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（3）供应商是非企业机构的，应提供有效的执业许可证或登记证书等证明文件；</w:t>
            </w:r>
          </w:p>
          <w:p>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（4）供应商是个体工商户的，应提供有效的个体工商户营业执照；</w:t>
            </w:r>
          </w:p>
          <w:p>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（5）供应商是自然人的，应提供有效的自然人身份证明。</w:t>
            </w:r>
          </w:p>
        </w:tc>
        <w:tc>
          <w:tcPr>
            <w:tcW w:w="2070" w:type="dxa"/>
            <w:vAlign w:val="center"/>
          </w:tcPr>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提供材料扫描件或电子证照，应完整的体现出材料或电子证照全部内容。联合体磋商的联合体各方均须提供。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1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供应商资格声明书</w:t>
            </w:r>
          </w:p>
        </w:tc>
        <w:tc>
          <w:tcPr>
            <w:tcW w:w="5001" w:type="dxa"/>
            <w:tcBorders>
              <w:bottom w:val="single" w:color="auto" w:sz="4" w:space="0"/>
            </w:tcBorders>
            <w:vAlign w:val="center"/>
          </w:tcPr>
          <w:p>
            <w:pPr>
              <w:spacing w:after="50" w:line="360" w:lineRule="auto"/>
              <w:ind w:right="-1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提供符合磋商文件要求的《供应商资格声明书》。</w:t>
            </w:r>
          </w:p>
        </w:tc>
        <w:tc>
          <w:tcPr>
            <w:tcW w:w="2070" w:type="dxa"/>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10" w:type="dxa"/>
            <w:tcBorders>
              <w:bottom w:val="single" w:color="auto" w:sz="4" w:space="0"/>
            </w:tcBorders>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5001" w:type="dxa"/>
            <w:tcBorders>
              <w:bottom w:val="single" w:color="auto" w:sz="4" w:space="0"/>
            </w:tcBorders>
            <w:vAlign w:val="center"/>
          </w:tcPr>
          <w:p>
            <w:pPr>
              <w:spacing w:after="50" w:line="360" w:lineRule="auto"/>
              <w:ind w:right="-1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2070" w:type="dxa"/>
            <w:tcBorders>
              <w:bottom w:val="single" w:color="auto" w:sz="4" w:space="0"/>
            </w:tcBorders>
            <w:vAlign w:val="center"/>
          </w:tcPr>
          <w:p>
            <w:pPr>
              <w:spacing w:line="360" w:lineRule="auto"/>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投标供应商应在响应文件中提交投标截止时间前查询的信用截图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810" w:type="dxa"/>
            <w:tcBorders>
              <w:bottom w:val="single" w:color="auto" w:sz="4" w:space="0"/>
            </w:tcBorders>
            <w:vAlign w:val="center"/>
          </w:tcPr>
          <w:p>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5001" w:type="dxa"/>
            <w:tcBorders>
              <w:bottom w:val="single" w:color="auto" w:sz="4" w:space="0"/>
            </w:tcBorders>
            <w:vAlign w:val="center"/>
          </w:tcPr>
          <w:p>
            <w:pPr>
              <w:spacing w:after="50" w:line="360" w:lineRule="auto"/>
              <w:ind w:right="-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如有，见第一章《磋商邀请》</w:t>
            </w:r>
          </w:p>
        </w:tc>
        <w:tc>
          <w:tcPr>
            <w:tcW w:w="2070" w:type="dxa"/>
            <w:tcBorders>
              <w:bottom w:val="single" w:color="auto" w:sz="4" w:space="0"/>
            </w:tcBorders>
            <w:vAlign w:val="center"/>
          </w:tcPr>
          <w:p>
            <w:pPr>
              <w:spacing w:after="50" w:line="360" w:lineRule="auto"/>
              <w:ind w:right="-1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810" w:type="dxa"/>
            <w:vAlign w:val="center"/>
          </w:tcPr>
          <w:p>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其他特定资格要求</w:t>
            </w:r>
          </w:p>
        </w:tc>
        <w:tc>
          <w:tcPr>
            <w:tcW w:w="5001" w:type="dxa"/>
            <w:vAlign w:val="center"/>
          </w:tcPr>
          <w:p>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如有，见第一章《磋商邀请》</w:t>
            </w:r>
          </w:p>
        </w:tc>
        <w:tc>
          <w:tcPr>
            <w:tcW w:w="2070" w:type="dxa"/>
            <w:vAlign w:val="center"/>
          </w:tcPr>
          <w:p>
            <w:pPr>
              <w:spacing w:after="50" w:line="360" w:lineRule="auto"/>
              <w:ind w:right="-10"/>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810" w:type="dxa"/>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磋商响应函</w:t>
            </w:r>
          </w:p>
        </w:tc>
        <w:tc>
          <w:tcPr>
            <w:tcW w:w="5001" w:type="dxa"/>
            <w:vAlign w:val="center"/>
          </w:tcPr>
          <w:p>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格式、填写要求符合磋商文件规定并加盖供应商电子签章</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授权书</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szCs w:val="28"/>
                <w:highlight w:val="none"/>
              </w:rPr>
              <w:t>文件规定并加盖</w:t>
            </w:r>
            <w:r>
              <w:rPr>
                <w:rFonts w:hint="eastAsia" w:ascii="宋体" w:hAnsi="宋体" w:eastAsia="宋体" w:cs="宋体"/>
                <w:color w:val="auto"/>
                <w:sz w:val="24"/>
                <w:highlight w:val="none"/>
              </w:rPr>
              <w:t>供应商</w:t>
            </w:r>
            <w:r>
              <w:rPr>
                <w:rFonts w:hint="eastAsia" w:ascii="宋体" w:hAnsi="宋体" w:eastAsia="宋体" w:cs="宋体"/>
                <w:color w:val="auto"/>
                <w:sz w:val="24"/>
                <w:szCs w:val="28"/>
                <w:highlight w:val="none"/>
              </w:rPr>
              <w:t>电子签章</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法定代表人参加磋商的无需此件，提供身份证明即可。详见第六章响应文件格式。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磋商报价</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highlight w:val="none"/>
              </w:rPr>
              <w:t>文件供应商须知正文第9条要求</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9</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商务响应情况</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宋体" w:hAnsi="宋体" w:eastAsia="宋体" w:cs="宋体"/>
                <w:color w:val="auto"/>
                <w:sz w:val="24"/>
                <w:szCs w:val="28"/>
                <w:highlight w:val="none"/>
              </w:rPr>
              <w:t>文件采购需求中对付款方式、服务地点、服务期限等实质性要求</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p>
        </w:tc>
        <w:tc>
          <w:tcPr>
            <w:tcW w:w="1810"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其他要求</w:t>
            </w:r>
          </w:p>
        </w:tc>
        <w:tc>
          <w:tcPr>
            <w:tcW w:w="5001" w:type="dxa"/>
            <w:vAlign w:val="center"/>
          </w:tcPr>
          <w:p>
            <w:pPr>
              <w:spacing w:after="50" w:line="360" w:lineRule="auto"/>
              <w:ind w:right="-10"/>
              <w:jc w:val="center"/>
              <w:rPr>
                <w:rFonts w:hint="eastAsia" w:ascii="宋体" w:hAnsi="宋体" w:eastAsia="宋体" w:cs="宋体"/>
                <w:color w:val="auto"/>
                <w:spacing w:val="10"/>
                <w:sz w:val="24"/>
                <w:szCs w:val="24"/>
                <w:highlight w:val="none"/>
              </w:rPr>
            </w:pPr>
            <w:r>
              <w:rPr>
                <w:rFonts w:hint="eastAsia" w:ascii="宋体" w:hAnsi="宋体" w:eastAsia="宋体" w:cs="宋体"/>
                <w:color w:val="auto"/>
                <w:sz w:val="24"/>
                <w:szCs w:val="28"/>
                <w:highlight w:val="none"/>
              </w:rPr>
              <w:t>符合法律、行政法规规定的其他条件或磋商文件列明的其他实质性要求</w:t>
            </w:r>
          </w:p>
        </w:tc>
        <w:tc>
          <w:tcPr>
            <w:tcW w:w="2070" w:type="dxa"/>
            <w:vAlign w:val="center"/>
          </w:tcPr>
          <w:p>
            <w:pPr>
              <w:adjustRightInd w:val="0"/>
              <w:snapToGrid w:val="0"/>
              <w:spacing w:line="360" w:lineRule="auto"/>
              <w:ind w:right="-10"/>
              <w:jc w:val="center"/>
              <w:rPr>
                <w:rFonts w:hint="eastAsia" w:ascii="宋体" w:hAnsi="宋体" w:eastAsia="宋体" w:cs="宋体"/>
                <w:color w:val="auto"/>
                <w:sz w:val="24"/>
                <w:szCs w:val="24"/>
                <w:highlight w:val="none"/>
              </w:rPr>
            </w:pPr>
          </w:p>
        </w:tc>
      </w:tr>
    </w:tbl>
    <w:p>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供应商必须通过初审表中的全部评审指标。</w:t>
      </w:r>
    </w:p>
    <w:p>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2.2.1磋商小组按照下表对进入综合评分的所有供应商的响应文件进行综合评分。</w:t>
      </w:r>
    </w:p>
    <w:p>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561"/>
        <w:gridCol w:w="496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物业服务整体设想及策划方</w:t>
            </w:r>
          </w:p>
          <w:p>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案 </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根据本项目的特点，提出物业管理服务整体设想、管理规模及管理服务理念。包括高标准、高水平管理的措施；具有管理深度和广度的做法；超前性、创造性的全方位贴心服务的意识；创造优美舒适、安全文明、环境洁净的设想。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1、方案内容完整、详尽细致；可行性、针对性强的，得 </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分；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2、方案内容完整；具有可行性和针对性的，得 </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 分；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3、方案内容基本适合本项目采购需求，可行性、针对性有待改善的，得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分； </w:t>
            </w:r>
          </w:p>
          <w:p>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vAlign w:val="center"/>
          </w:tcPr>
          <w:p>
            <w:pPr>
              <w:tabs>
                <w:tab w:val="center" w:pos="685"/>
                <w:tab w:val="right" w:pos="1251"/>
              </w:tabs>
              <w:spacing w:line="360" w:lineRule="auto"/>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ab/>
            </w:r>
            <w:r>
              <w:rPr>
                <w:rFonts w:hint="eastAsia" w:ascii="宋体" w:hAnsi="宋体" w:eastAsia="宋体" w:cs="宋体"/>
                <w:b/>
                <w:bCs/>
                <w:color w:val="auto"/>
                <w:sz w:val="21"/>
                <w:szCs w:val="21"/>
                <w:highlight w:val="none"/>
                <w:lang w:val="en-US" w:eastAsia="zh-CN"/>
              </w:rPr>
              <w:t>0-10</w:t>
            </w:r>
            <w:r>
              <w:rPr>
                <w:rFonts w:hint="eastAsia" w:ascii="宋体" w:hAnsi="宋体" w:eastAsia="宋体" w:cs="宋体"/>
                <w:b/>
                <w:bCs/>
                <w:color w:val="auto"/>
                <w:sz w:val="21"/>
                <w:szCs w:val="21"/>
                <w:highlight w:val="none"/>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物业管理机构设置方案 </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岗位设置切合实际需求，满足正常运营、办公要求，精简高效、排班合理。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1、方案内容完整、详尽细致；可行性、针对性强的，得 </w:t>
            </w:r>
            <w:r>
              <w:rPr>
                <w:rFonts w:hint="eastAsia" w:ascii="宋体" w:hAnsi="宋体" w:eastAsia="宋体" w:cs="宋体"/>
                <w:color w:val="auto"/>
                <w:spacing w:val="-4"/>
                <w:sz w:val="21"/>
                <w:szCs w:val="21"/>
                <w:highlight w:val="none"/>
                <w:lang w:val="en-US" w:eastAsia="zh-CN"/>
              </w:rPr>
              <w:t>10</w:t>
            </w:r>
            <w:r>
              <w:rPr>
                <w:rFonts w:hint="eastAsia" w:ascii="宋体" w:hAnsi="宋体" w:eastAsia="宋体" w:cs="宋体"/>
                <w:color w:val="auto"/>
                <w:spacing w:val="-4"/>
                <w:sz w:val="21"/>
                <w:szCs w:val="21"/>
                <w:highlight w:val="none"/>
              </w:rPr>
              <w:t xml:space="preserve">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2、方案内容完整；具有可行性和针对性的，得 </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 xml:space="preserve"> 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3、方案内容基本适合本项目采购需求，可行性、针对性有待改善的，得 </w:t>
            </w:r>
            <w:r>
              <w:rPr>
                <w:rFonts w:hint="eastAsia" w:ascii="宋体" w:hAnsi="宋体" w:eastAsia="宋体" w:cs="宋体"/>
                <w:color w:val="auto"/>
                <w:spacing w:val="-4"/>
                <w:sz w:val="21"/>
                <w:szCs w:val="21"/>
                <w:highlight w:val="none"/>
                <w:lang w:val="en-US" w:eastAsia="zh-CN"/>
              </w:rPr>
              <w:t>3</w:t>
            </w:r>
            <w:r>
              <w:rPr>
                <w:rFonts w:hint="eastAsia" w:ascii="宋体" w:hAnsi="宋体" w:eastAsia="宋体" w:cs="宋体"/>
                <w:color w:val="auto"/>
                <w:spacing w:val="-4"/>
                <w:sz w:val="21"/>
                <w:szCs w:val="21"/>
                <w:highlight w:val="none"/>
              </w:rPr>
              <w:t xml:space="preserve">分； </w:t>
            </w:r>
          </w:p>
          <w:p>
            <w:pPr>
              <w:spacing w:line="360" w:lineRule="auto"/>
              <w:jc w:val="lef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4、方案不可行或者未提供相关内容的不得分。 </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管理服务方案 </w:t>
            </w:r>
          </w:p>
        </w:tc>
        <w:tc>
          <w:tcPr>
            <w:tcW w:w="496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根据项目特点，提供日常服务方案，包括但不限于公共区域清洁卫生服务、保安服务、工程维修服务等。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1、方案内容完整、详尽细致；可行性、针对性强的，得 5分；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2、方案内容完整；具有可行性和针对性的，得 3 分；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3、方案内容基本适合本项目采购需求，可行性、针对性有待改善的，得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4、方案不可行或者未提供相关内容的不得分。 </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18"/>
                <w:szCs w:val="18"/>
                <w:highlight w:val="none"/>
                <w:lang w:val="en-US" w:eastAsia="zh-CN"/>
              </w:rPr>
              <w:t>1</w:t>
            </w:r>
            <w:r>
              <w:rPr>
                <w:rFonts w:hint="eastAsia" w:ascii="宋体" w:hAnsi="宋体" w:eastAsia="宋体" w:cs="宋体"/>
                <w:b/>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物业人员配备及物资装备配</w:t>
            </w:r>
          </w:p>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备方案</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人员配备齐全，物资装备配备符合项目实际情况。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1、方案内容完整、详尽细致；可行性、针对性强的，得10分；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2、方案内容完整；具有可行性和针对性的，得 5分；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3、方案内容基本适合本项目采购需求，可行性、针对性有待改善的，得 3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消防安全管理</w:t>
            </w:r>
          </w:p>
          <w:p>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方案</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根据采购文件要求及投标人提供的消防安全管理方案的情况，进行综合评分：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（1）对本项目特点和难点理解准确，消防安全管理方案优于本项目采购需求，完整详细，可行性、实用性、针对性强，得5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（2）对本项目特点和难点理解基本准确，消防安全管理方案适合本项目采购需求，完整详细，具有可行性、实用性和针对性，得 3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（3）对本项目特点和难点理解有待提升，消防安全管理方案基本适合本项目采购需求，可行性，实用性、针对性有待改善，得 1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应急预案</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根据采购文件要求及投标人提供的应急处理方案的情况，进行综合评分： 提供下述各种应急预案，内容包含但不限于供水、供电等。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1、方案内容完整、详尽细致；可行性、针对性强的，得 5分；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2、方案内容完整；具有可行性和针对性的，得 4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3、方案内容基本适合本项目采购需求，可行性、针对性有待改善的，得 1 分； </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 xml:space="preserve">服务质量保证措施方案 </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根据采购文件要求及投标人提供的服务质量保证措施方案的情况，进行综合评分：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（1）对本项目特点和难点理解准确，服务质量保证措施方案优于本项目采购需求，完整详细，可行性、实用性、针对性强，得 5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（2）对本项目特点和难点理解基本准确，服务质量保证措施方案适合本项目采购需求，完整详细，具有可行性、实用性和针对性，得 3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（3）对本项目特点和难点理解有待提升，服务质量保证措施方案基本适合本项目采购需求，可行性，实用性、针对性有待改善，得 1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（4）方案不可行或者未提供相关内容的不得分。</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业绩</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投标人自 2020 年 1 月 1 日（以合同签订时间为准）以来，投标人具有类似项目业绩的，每提供 1 个业绩得5 分，本项满分20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投标文件中须提供业绩合同的扫描件，若合同中无法体现签订时间、项目类型等关键评审内容的，须同时提供业主单位（合同甲方）出具的证明材料加以明确说明，未提供或提供不全的不得分。已履约完成或正在履约的业绩均可。 </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奖项荣誉</w:t>
            </w:r>
          </w:p>
          <w:p>
            <w:pPr>
              <w:spacing w:line="360" w:lineRule="auto"/>
              <w:jc w:val="center"/>
              <w:rPr>
                <w:rFonts w:hint="eastAsia" w:ascii="宋体" w:hAnsi="宋体" w:eastAsia="宋体" w:cs="宋体"/>
                <w:color w:val="auto"/>
                <w:spacing w:val="-3"/>
                <w:kern w:val="2"/>
                <w:sz w:val="21"/>
                <w:szCs w:val="21"/>
                <w:highlight w:val="none"/>
                <w:lang w:val="en-US" w:eastAsia="zh-CN" w:bidi="ar-SA"/>
              </w:rPr>
            </w:pP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2022 年 1 月 1 日以来（以颁奖文件落款时间为准），投标人或所管项目获得物业方面奖项荣誉的每提供1项得 3分，满分 6 分。 </w:t>
            </w:r>
          </w:p>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注：提供颁奖单位的颁奖文件（颁奖文件包含但不限于红头文件、荣誉证书、奖杯、奖牌、奖状）或颁奖单位官网文件截图，提供其中之一即可。 </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tcBorders>
              <w:left w:val="single" w:color="auto" w:sz="4" w:space="0"/>
              <w:right w:val="single" w:color="auto" w:sz="4" w:space="0"/>
            </w:tcBorders>
            <w:vAlign w:val="center"/>
          </w:tcPr>
          <w:p>
            <w:pPr>
              <w:spacing w:line="360" w:lineRule="auto"/>
              <w:ind w:firstLine="435"/>
              <w:jc w:val="center"/>
              <w:rPr>
                <w:rFonts w:hint="eastAsia" w:ascii="宋体" w:hAnsi="宋体" w:eastAsia="宋体" w:cs="宋体"/>
                <w:b/>
                <w:bCs/>
                <w:color w:val="auto"/>
                <w:sz w:val="21"/>
                <w:szCs w:val="21"/>
                <w:highlight w:val="none"/>
              </w:rPr>
            </w:pP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pacing w:val="-3"/>
                <w:kern w:val="2"/>
                <w:sz w:val="21"/>
                <w:szCs w:val="21"/>
                <w:highlight w:val="none"/>
                <w:lang w:val="en-US" w:eastAsia="zh-CN" w:bidi="ar-SA"/>
              </w:rPr>
            </w:pPr>
            <w:r>
              <w:rPr>
                <w:rFonts w:hint="default" w:ascii="宋体" w:hAnsi="宋体" w:eastAsia="宋体" w:cs="宋体"/>
                <w:color w:val="auto"/>
                <w:sz w:val="21"/>
                <w:szCs w:val="21"/>
                <w:highlight w:val="none"/>
                <w:lang w:val="en-US" w:eastAsia="zh-CN"/>
              </w:rPr>
              <w:t>体系认证</w:t>
            </w:r>
            <w:r>
              <w:rPr>
                <w:rFonts w:hint="eastAsia" w:ascii="宋体" w:hAnsi="宋体" w:eastAsia="宋体" w:cs="宋体"/>
                <w:color w:val="auto"/>
                <w:sz w:val="21"/>
                <w:szCs w:val="21"/>
                <w:highlight w:val="none"/>
                <w:lang w:val="en-US" w:eastAsia="zh-CN"/>
              </w:rPr>
              <w:t>(9分）</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供应商具有有效的质量管理体系认证证书、环境管理体系认证证书、职业健康管理体系认证证书每提供一个得3分，满分9分。</w:t>
            </w:r>
          </w:p>
          <w:p>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注：提供有效的体系认证证书扫描件及全国认证认可信息公共服务平台查询截图否则不予认可。</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772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分。其他供应商的价格分统一按照下列公式计算：</w:t>
            </w:r>
          </w:p>
          <w:p>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％×100</w:t>
            </w:r>
          </w:p>
        </w:tc>
      </w:tr>
    </w:tbl>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（2）将每个供应商的技术资信分加上根据上述标准计算出的价格分，即为该供应商的综合总得分。</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8"/>
        <w:numPr>
          <w:ilvl w:val="0"/>
          <w:numId w:val="1"/>
        </w:numPr>
        <w:spacing w:before="313" w:line="225" w:lineRule="auto"/>
        <w:ind w:firstLine="3373" w:firstLineChars="1200"/>
        <w:outlineLvl w:val="0"/>
        <w:rPr>
          <w:rFonts w:hint="eastAsia" w:ascii="宋体" w:hAnsi="宋体" w:eastAsia="宋体" w:cs="宋体"/>
          <w:b/>
          <w:color w:val="auto"/>
          <w:kern w:val="2"/>
          <w:sz w:val="28"/>
          <w:szCs w:val="20"/>
          <w:highlight w:val="none"/>
          <w:lang w:val="en-US" w:eastAsia="zh-CN" w:bidi="ar-SA"/>
        </w:rPr>
      </w:pPr>
      <w:bookmarkStart w:id="67" w:name="_Toc63440921"/>
      <w:r>
        <w:rPr>
          <w:rFonts w:hint="eastAsia" w:ascii="宋体" w:hAnsi="宋体" w:eastAsia="宋体" w:cs="宋体"/>
          <w:b/>
          <w:color w:val="auto"/>
          <w:sz w:val="28"/>
          <w:highlight w:val="none"/>
        </w:rPr>
        <w:t xml:space="preserve"> 采购合同</w:t>
      </w:r>
      <w:bookmarkEnd w:id="67"/>
      <w:r>
        <w:rPr>
          <w:rFonts w:hint="eastAsia" w:ascii="宋体" w:hAnsi="宋体" w:eastAsia="宋体" w:cs="宋体"/>
          <w:b/>
          <w:color w:val="auto"/>
          <w:kern w:val="2"/>
          <w:sz w:val="28"/>
          <w:szCs w:val="20"/>
          <w:highlight w:val="none"/>
          <w:lang w:val="en-US" w:eastAsia="zh-CN" w:bidi="ar-SA"/>
        </w:rPr>
        <w:t>（供参考）</w:t>
      </w:r>
    </w:p>
    <w:p>
      <w:pPr>
        <w:spacing w:line="360" w:lineRule="auto"/>
        <w:jc w:val="center"/>
        <w:outlineLvl w:val="0"/>
        <w:rPr>
          <w:rFonts w:hint="eastAsia" w:ascii="宋体" w:hAnsi="宋体" w:eastAsia="宋体" w:cs="宋体"/>
          <w:b/>
          <w:color w:val="auto"/>
          <w:sz w:val="28"/>
          <w:highlight w:val="none"/>
        </w:rPr>
      </w:pPr>
    </w:p>
    <w:p>
      <w:pPr>
        <w:spacing w:line="360" w:lineRule="auto"/>
        <w:ind w:firstLine="435"/>
        <w:jc w:val="center"/>
        <w:rPr>
          <w:rFonts w:hint="eastAsia" w:ascii="宋体" w:hAnsi="宋体" w:eastAsia="宋体" w:cs="宋体"/>
          <w:color w:val="auto"/>
          <w:sz w:val="24"/>
          <w:highlight w:val="none"/>
        </w:rPr>
      </w:pPr>
      <w:bookmarkStart w:id="68" w:name="_Toc25148"/>
      <w:bookmarkStart w:id="69" w:name="_Toc2430"/>
      <w:r>
        <w:rPr>
          <w:rFonts w:hint="eastAsia" w:ascii="宋体" w:hAnsi="宋体" w:eastAsia="宋体" w:cs="宋体"/>
          <w:color w:val="auto"/>
          <w:sz w:val="24"/>
          <w:highlight w:val="none"/>
        </w:rPr>
        <w:t>政府采购合同参考范本</w:t>
      </w:r>
    </w:p>
    <w:p>
      <w:pPr>
        <w:spacing w:line="360" w:lineRule="auto"/>
        <w:ind w:firstLine="43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（服务类）</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 合同书</w:t>
      </w:r>
    </w:p>
    <w:p>
      <w:pPr>
        <w:spacing w:line="360" w:lineRule="auto"/>
        <w:ind w:firstLine="435"/>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（分包项目须填写完整的分包号及分包名称）</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项目编号：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甲方（采购人）：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乙方（成交供应商）：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签订地：                                      </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签订日期：                年        月         日</w:t>
      </w:r>
    </w:p>
    <w:p>
      <w:pPr>
        <w:spacing w:line="360" w:lineRule="auto"/>
        <w:ind w:firstLine="435"/>
        <w:rPr>
          <w:rFonts w:hint="eastAsia" w:ascii="宋体" w:hAnsi="宋体" w:eastAsia="宋体" w:cs="宋体"/>
          <w:color w:val="auto"/>
          <w:sz w:val="24"/>
          <w:highlight w:val="none"/>
        </w:rPr>
        <w:sectPr>
          <w:headerReference r:id="rId5" w:type="default"/>
          <w:footerReference r:id="rId6" w:type="default"/>
          <w:pgSz w:w="11910" w:h="16845"/>
          <w:pgMar w:top="1174" w:right="1757"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（以下简称：甲方）通过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组织的竞争性磋商方式采购活动，经磋商小组评定，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（以下简称：乙方）为本项目成交供应商，现按照磋商文件确定的事项签订本合同。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根据《中华人民共和国民法典》、《中华人民共和国政府采购法》等相关法律法规之规定，按照平等、自愿、公平和诚实信用的原则，经甲方和乙方协商一 致，约定以下合同条款，以兹共同遵守、全面履行。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 合同组成部分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 如果下列文件内容出现不一致的情形，那么在保证按照磋商文件确定的事项前提下，组成本合同的多个文件的优先适用顺序如下：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 响应文件（含澄清或者说明文件）；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 磋商文件（含澄清或者修改文件）；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其他相关磋商文件。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 服务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服务名称：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1.2.2 服务内容：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 服务质量：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 价款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元（大写：人民币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bl>
      <w:tblPr>
        <w:tblStyle w:val="67"/>
        <w:tblW w:w="935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7"/>
        <w:gridCol w:w="4741"/>
        <w:gridCol w:w="35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741"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3558"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8"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057"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741" w:type="dxa"/>
            <w:vAlign w:val="top"/>
          </w:tcPr>
          <w:p>
            <w:pPr>
              <w:spacing w:line="360" w:lineRule="auto"/>
              <w:ind w:firstLine="435"/>
              <w:rPr>
                <w:rFonts w:hint="eastAsia" w:ascii="宋体" w:hAnsi="宋体" w:eastAsia="宋体" w:cs="宋体"/>
                <w:color w:val="auto"/>
                <w:sz w:val="24"/>
                <w:highlight w:val="none"/>
              </w:rPr>
            </w:pPr>
          </w:p>
        </w:tc>
        <w:tc>
          <w:tcPr>
            <w:tcW w:w="3558"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5798" w:type="dxa"/>
            <w:gridSpan w:val="2"/>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3558" w:type="dxa"/>
            <w:vAlign w:val="top"/>
          </w:tcPr>
          <w:p>
            <w:pPr>
              <w:spacing w:line="360" w:lineRule="auto"/>
              <w:ind w:firstLine="435"/>
              <w:rPr>
                <w:rFonts w:hint="eastAsia" w:ascii="宋体" w:hAnsi="宋体" w:eastAsia="宋体" w:cs="宋体"/>
                <w:color w:val="auto"/>
                <w:sz w:val="24"/>
                <w:highlight w:val="none"/>
              </w:rPr>
            </w:pPr>
          </w:p>
        </w:tc>
      </w:tr>
    </w:tbl>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 付款方式和发票开具方式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1.5 服务期限、地点和方式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 服务期限：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 服务方式：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 违约责任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除不可抗力外，如果乙方没有按照本合同约定的期限、地点和方式履 行，那么甲方可要求乙方支付违约金，违约金按每迟延履行一日的应提供而未提 供服务价格的 0.5 %计算，最高限额为本合同总价的 5  %；迟延履行的违约金 计算数额达到前述最高限额之日起，甲方有权在要求乙方支付违约金的同时，书 面通知乙方解除本合同；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除不可抗力外，如果甲方没有按照本合同约定的付款方式付款，那么 乙方可要求甲方支付违约金，违约金按每迟延付款一日的应付而未付款的 0.5 % 计算，最高限额为本合同总价的 5 %；迟延付款的违约金计算数额达到前述最高 限额之日起，乙方有权在要求甲方支付违约金的同时，书面通知甲方解除本合同；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 目的的，或者任何一方有腐败行为（即：提供或给予或接受或索取任何财物或其他好处或者采取其他不正当手段影响对方当事人在合同签订、履行过程中的行为） 或者欺诈行为（即：以谎报事实或者隐瞒真相的方法来影响对方当事人在合同签订、履行过程中的行为）的，对方当事人可以书面通知违约方解除本合同；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 任何一方按照前述约定要求违约方支付违约金的同时，仍有权要求违 约方继续履行合同、采取补救措施， 并有权按照己方实际损失情况要求违约方赔 偿损失；任何一方按照前述约定要求解除本合同的同时，仍有权要求违约方支付 违约金和按照己方实际损失情况要求违约方赔偿损失；且守约方行使的任何权利 救济方式均不视为其放弃了其他法定或者约定的权利救济方式；</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 除前述约定外，除不可抗力外，任何一方未能履行本合同约定的义务， 对方当事人均有权要求继续履行、采取补救措施或者赔偿损失等， 且对方当事人 行使的任何权利救济方式均不视为其放弃了其他法定或者约定的权利救济方式；</w:t>
      </w:r>
    </w:p>
    <w:p>
      <w:pPr>
        <w:spacing w:line="360" w:lineRule="auto"/>
        <w:ind w:firstLine="435"/>
        <w:rPr>
          <w:rFonts w:hint="eastAsia" w:ascii="宋体" w:hAnsi="宋体" w:eastAsia="宋体" w:cs="宋体"/>
          <w:color w:val="auto"/>
          <w:sz w:val="24"/>
          <w:highlight w:val="none"/>
        </w:rPr>
        <w:sectPr>
          <w:headerReference r:id="rId7" w:type="default"/>
          <w:footerReference r:id="rId8" w:type="default"/>
          <w:pgSz w:w="11910" w:h="16845"/>
          <w:pgMar w:top="1174" w:right="1276" w:bottom="1250" w:left="1261" w:header="817" w:footer="1019" w:gutter="0"/>
          <w:cols w:space="720" w:num="1"/>
        </w:sectPr>
      </w:pPr>
      <w:r>
        <w:rPr>
          <w:rFonts w:hint="eastAsia" w:ascii="宋体" w:hAnsi="宋体" w:eastAsia="宋体" w:cs="宋体"/>
          <w:color w:val="auto"/>
          <w:sz w:val="24"/>
          <w:highlight w:val="none"/>
        </w:rPr>
        <w:t>1.6.6 如果出现政府采购监督管理部门在处理投诉事项期间，书面通知甲方</w:t>
      </w:r>
    </w:p>
    <w:p>
      <w:pPr>
        <w:spacing w:line="360" w:lineRule="auto"/>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暂停采购活动的情形，或者询问或质疑事项可能影响成交结果的，导致甲方中止 履行合同的情形，均不视为甲方违约。</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1.6.7 因甲方未按合同约定支付价款、未按合同约定受领标的物、擅自解除 合同、逾期退还履约保证金导致乙方遭受的直接损失，乙方可向甲方申请赔偿， 赔偿金额由双方协商一致；针对因政策变化等原因不能签订合同或解除合同时， 造成乙方合法利益受损的情形，可以给予乙方合理补偿，补偿金额不得超过乙方 的直接损失。</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 合同争议的解决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 不愿和解、调解或者和解、调解不成的，可以选择下列第    种方式解决：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               仲裁委员会依申请仲裁时其现行有效的仲 裁规则裁决；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                          人民法院起诉。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 合同生效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本合同自双方当事人盖章时生效。</w:t>
      </w: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    方：    （单位盖章）               乙方：    （单位盖章）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或授权代表（签字）：                      或授权代表（签字）：</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时间：     年     月      日            时间：       年     月     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乙方账户信息</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户名：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账号：                     </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pPr>
        <w:spacing w:line="360" w:lineRule="auto"/>
        <w:ind w:firstLine="435"/>
        <w:rPr>
          <w:rFonts w:hint="eastAsia" w:ascii="宋体" w:hAnsi="宋体" w:eastAsia="宋体" w:cs="宋体"/>
          <w:color w:val="auto"/>
          <w:sz w:val="24"/>
          <w:highlight w:val="none"/>
        </w:rPr>
        <w:sectPr>
          <w:headerReference r:id="rId9" w:type="default"/>
          <w:footerReference r:id="rId10" w:type="default"/>
          <w:pgSz w:w="11910" w:h="16845"/>
          <w:pgMar w:top="1174" w:right="1601"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 合同一般条款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 定义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 ”系指采购人和成交供应商签订的载明双方当事人所达成的协 议，并包括所有的附件、附录和构成合同的其他文件。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 ”系指根据合同约定，成交供应商在完全履行合同义务后， 采购人应支付给成交供应商的价格。</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 ”系指成交供应商根据合同约定应向采购人履行的除货物和工 程以外的其他政府采购对象，包括采购人自身需要的服务和向社会公众提供的公 共服务。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 ”系指与成交供应商签署合同的采购人；采购人委托采购代理 机构代表其与乙方签订合同的，采购人的授权委托书作为合同附件。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 ”系指根据合同约定提供服务的成交供应商；两个以上的自然 人、法人或者其他组织组成一个联合体，以一个供应商的身份共同参加政府采购 的，联合体各方均应为乙方或者与乙方相同地位的合同当事人，并就合同约定的 事项对甲方承担连带责任。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2.1.6“现场 ”系指合同约定提供服务的地点。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 技术规范</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货物所应遵守的技术规范应与磋商文件规定的技术规范和技术规范附件(如 果有的话)及其技术规范偏差表(如果被甲方接受的话)相一致；如果磋商文件中 没有技术规范的相应说明，那么应以国家有关部门最新颁布的相应标准和规范为 准。</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 知识产权</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乙方应保证其提供的服务不受任何第三方提出的侵犯其著作权、商标 权、专利权等知识产权方面的起诉；如果任何第三方提出侵权指控，那么乙方须 与该第三方交涉并承担由此发生的一切责任、费用和赔偿；</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 具有知识产权的计算机软件等货物的知识产权归属，详见 合同专用条 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 履约检查和问题反馈</w:t>
      </w:r>
    </w:p>
    <w:p>
      <w:pPr>
        <w:spacing w:line="360" w:lineRule="auto"/>
        <w:ind w:firstLine="435"/>
        <w:rPr>
          <w:rFonts w:hint="eastAsia" w:ascii="宋体" w:hAnsi="宋体" w:eastAsia="宋体" w:cs="宋体"/>
          <w:color w:val="auto"/>
          <w:sz w:val="24"/>
          <w:highlight w:val="none"/>
        </w:rPr>
        <w:sectPr>
          <w:headerReference r:id="rId11" w:type="default"/>
          <w:footerReference r:id="rId12" w:type="default"/>
          <w:pgSz w:w="11910" w:h="16845"/>
          <w:pgMar w:top="1174" w:right="1757"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2.4.1 甲方有权在其认为必要时，对乙方是否能够按照合同约定提供服务进 行履约检查，以确保乙方所提供的服务能够依约满足甲方项目需求，但不得因履 约检查妨碍乙方的正常工作，乙方应予积极配合；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 合同履行期间，甲方有权将履行过程中出现的问题反馈给乙方，双方 当事人应以书面形式约定需要完善和改进的内容。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 结算方式和付款条件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 合同专用条款。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 技术资料和保密义务</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 资料等，甲方应予积极配合；</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 向任何第三方提供或披露有关合同的或者履行合同过程中知悉的对方当事人任 何未公开的信息和资料，包括但不限于技术情报、技术资料、商业秘密和商业信 息等，并采取一切合理和必要措施和方式防止任何第三方接触到对方当事人的上 述保密信息和资料。</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 质量保证</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 章制度给甲方，以便甲方进行监督检查；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 地、环境和设施等满足全面履行合同的要求，并应接受甲方的监督检查。</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 延迟履行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 形式将不能按时提供服务的理由、预期延误时间通知甲方；甲方收到乙方通知后， 认为其理由正当的，可以书面形式酌情同意乙方可以延长履行的具体时间。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 合同变更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 双方当事人协商一致，可以签订书面补充合同的形式变更合同，但不 得违背磋商文件确定的事项；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 合同继续履行将损害国家利益和社会公共利益的，双方当事人应当以</w:t>
      </w:r>
    </w:p>
    <w:p>
      <w:pPr>
        <w:spacing w:line="360" w:lineRule="auto"/>
        <w:ind w:firstLine="435"/>
        <w:rPr>
          <w:rFonts w:hint="eastAsia" w:ascii="宋体" w:hAnsi="宋体" w:eastAsia="宋体" w:cs="宋体"/>
          <w:color w:val="auto"/>
          <w:sz w:val="24"/>
          <w:highlight w:val="none"/>
        </w:rPr>
        <w:sectPr>
          <w:headerReference r:id="rId13" w:type="default"/>
          <w:footerReference r:id="rId14" w:type="default"/>
          <w:pgSz w:w="11910" w:h="16845"/>
          <w:pgMar w:top="1174" w:right="1719"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书面形式变更合同。有过错的一方应当承担赔偿责任，双方当事人都有过错的， 各自承担相应的责任。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2.10 合同转让和分包</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 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 不可抗力</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 如果任何一方遭遇法律规定的不可抗力，致使合同履行受阻时，履行 合同的期限应予延长，延长的期限应相当于不可抗力所影响的时间；</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 因不可抗力致使不能实现合同目的的，当事人可以解除合同；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 因不可抗力致使合同有变更必要的，双方当事人应在合同专用条款约 定时间内以书面形式变更合同；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 受不可抗力影响的一方在不可抗力发生后，应在 合同专用条款约定时 间内以书面形式通知对方当事人，并在合同专用条款约定时间内，将有关部门出 具的证明文件送达对方当事人。</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 税费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 乙方破产</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 不给予乙方任何补偿和赔偿，但合同的终止不损害或不影响甲方已经采取或将要 采取的任何要求乙方支付违约金、赔偿损失等的行动或补救措施的权利。</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 合同中止、终止</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 合同继续履行将损害国家利益和社会公共利益的，双方当事人应当中 止或者终止合同。有过错的一方应当承担赔偿责任，双方当事人都有过错的，各 自承担相应的责任。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 检验和验收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 乙方按照合同专用条款的约定，定期提交服务报告，甲方按照合同专</w:t>
      </w:r>
    </w:p>
    <w:p>
      <w:pPr>
        <w:spacing w:line="360" w:lineRule="auto"/>
        <w:ind w:firstLine="435"/>
        <w:rPr>
          <w:rFonts w:hint="eastAsia" w:ascii="宋体" w:hAnsi="宋体" w:eastAsia="宋体" w:cs="宋体"/>
          <w:color w:val="auto"/>
          <w:sz w:val="24"/>
          <w:highlight w:val="none"/>
        </w:rPr>
        <w:sectPr>
          <w:headerReference r:id="rId15" w:type="default"/>
          <w:footerReference r:id="rId16" w:type="default"/>
          <w:pgSz w:w="11910" w:h="16845"/>
          <w:pgMar w:top="1174" w:right="1729"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用条款的约定进行定期验收；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 合同期满或者履行完毕后，甲方有权组织（包括依法邀请国家认可的 质量检测机构参加）对乙方履约的验收，即：按照合同约定的标准，组织对乙方 履约情况的验收，并出具验收书；向社会公众提供的公共服务项目，验收时应当 邀请服务对象参与并出具意见，验收结果应当向社会公告；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 检验和验收标准、程序等具体内容以及前述验收书的效力详见合同专 用条款。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 合同使用的文字和适用的法律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 合同使用汉语书就、变更和解释；</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 合同适用中华人民共和国法律。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 履约保证金</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2.17.1磋商文件要求乙方提交履约保证金的，乙方应按合同专用条款约定的 方式，以支票、汇票、本票或者金融机构、担保机构出具的保函等非现金形式提 交；</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 履约保证金在合同专用条款约定期间内不予退还或者应完全有效，前 述约定期间届满之日起</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个工作日内，甲方应将履约保证金退还乙方，甲方逾期退还履约保证金应承担违约责任。</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 如果乙方不履行合同，履约保证金不予退还；如果乙方未能按合同约 定全面履行义务，那么甲方有权从履约保证金中取得补偿或赔偿，同时不影响甲 方要求乙方承担合同约定的超过履约保证金的违约责任的权利。</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2.18 合同份数</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合同份数按合同专用条款规定，每份均具有同等法律效力。</w:t>
      </w:r>
    </w:p>
    <w:p>
      <w:pPr>
        <w:spacing w:line="360" w:lineRule="auto"/>
        <w:ind w:firstLine="435"/>
        <w:rPr>
          <w:rFonts w:hint="eastAsia" w:ascii="宋体" w:hAnsi="宋体" w:eastAsia="宋体" w:cs="宋体"/>
          <w:color w:val="auto"/>
          <w:sz w:val="24"/>
          <w:highlight w:val="none"/>
        </w:rPr>
        <w:sectPr>
          <w:headerReference r:id="rId17" w:type="default"/>
          <w:footerReference r:id="rId18" w:type="default"/>
          <w:pgSz w:w="11910" w:h="16845"/>
          <w:pgMar w:top="1174" w:right="1757" w:bottom="1250" w:left="1771" w:header="817" w:footer="1019" w:gutter="0"/>
          <w:cols w:space="720" w:num="1"/>
        </w:sectPr>
      </w:pPr>
    </w:p>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 合同专用条款</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 应以本部分的约定为准。本部分的条款号应与前两部分的条款号保持对应；与前 两部分无对应关系的内容可另行编制条款号。</w:t>
      </w:r>
    </w:p>
    <w:tbl>
      <w:tblPr>
        <w:tblStyle w:val="67"/>
        <w:tblW w:w="919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83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77" w:type="dxa"/>
            <w:vAlign w:val="top"/>
          </w:tcPr>
          <w:p>
            <w:pPr>
              <w:spacing w:line="360" w:lineRule="auto"/>
              <w:ind w:firstLine="435"/>
              <w:rPr>
                <w:rFonts w:hint="eastAsia" w:ascii="宋体" w:hAnsi="宋体" w:eastAsia="宋体" w:cs="宋体"/>
                <w:color w:val="auto"/>
                <w:sz w:val="24"/>
                <w:highlight w:val="none"/>
              </w:rPr>
            </w:pPr>
            <w:bookmarkStart w:id="70" w:name="bookmark6"/>
            <w:bookmarkEnd w:id="70"/>
            <w:r>
              <w:rPr>
                <w:rFonts w:hint="eastAsia" w:ascii="宋体" w:hAnsi="宋体" w:eastAsia="宋体" w:cs="宋体"/>
                <w:color w:val="auto"/>
                <w:sz w:val="24"/>
                <w:highlight w:val="none"/>
              </w:rPr>
              <w:t>条款号</w:t>
            </w:r>
          </w:p>
        </w:tc>
        <w:tc>
          <w:tcPr>
            <w:tcW w:w="8314" w:type="dxa"/>
            <w:vAlign w:val="top"/>
          </w:tcPr>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2" w:hRule="atLeast"/>
        </w:trPr>
        <w:tc>
          <w:tcPr>
            <w:tcW w:w="877" w:type="dxa"/>
            <w:vAlign w:val="top"/>
          </w:tcPr>
          <w:p>
            <w:pPr>
              <w:spacing w:line="360" w:lineRule="auto"/>
              <w:ind w:firstLine="435"/>
              <w:rPr>
                <w:rFonts w:hint="eastAsia" w:ascii="宋体" w:hAnsi="宋体" w:eastAsia="宋体" w:cs="宋体"/>
                <w:color w:val="auto"/>
                <w:sz w:val="24"/>
                <w:highlight w:val="none"/>
              </w:rPr>
            </w:pPr>
          </w:p>
        </w:tc>
        <w:tc>
          <w:tcPr>
            <w:tcW w:w="8314" w:type="dxa"/>
            <w:vAlign w:val="top"/>
          </w:tcPr>
          <w:p>
            <w:pPr>
              <w:spacing w:line="360" w:lineRule="auto"/>
              <w:ind w:firstLine="435"/>
              <w:rPr>
                <w:rFonts w:hint="eastAsia" w:ascii="宋体" w:hAnsi="宋体" w:eastAsia="宋体" w:cs="宋体"/>
                <w:color w:val="auto"/>
                <w:sz w:val="24"/>
                <w:highlight w:val="none"/>
              </w:rPr>
            </w:pPr>
          </w:p>
        </w:tc>
      </w:tr>
    </w:tbl>
    <w:p>
      <w:pPr>
        <w:spacing w:line="360" w:lineRule="auto"/>
        <w:ind w:firstLine="435"/>
        <w:rPr>
          <w:rFonts w:hint="eastAsia" w:ascii="宋体" w:hAnsi="宋体" w:eastAsia="宋体" w:cs="宋体"/>
          <w:color w:val="auto"/>
          <w:sz w:val="24"/>
          <w:highlight w:val="none"/>
        </w:rPr>
      </w:pPr>
    </w:p>
    <w:p>
      <w:pPr>
        <w:spacing w:line="360" w:lineRule="auto"/>
        <w:ind w:firstLine="435"/>
        <w:rPr>
          <w:rFonts w:hint="eastAsia" w:ascii="宋体" w:hAnsi="宋体" w:eastAsia="宋体" w:cs="宋体"/>
          <w:color w:val="auto"/>
          <w:sz w:val="24"/>
          <w:highlight w:val="none"/>
        </w:rPr>
        <w:sectPr>
          <w:headerReference r:id="rId19" w:type="default"/>
          <w:footerReference r:id="rId20" w:type="default"/>
          <w:pgSz w:w="11910" w:h="16845"/>
          <w:pgMar w:top="1174" w:right="1351" w:bottom="1250" w:left="1351" w:header="817" w:footer="1019" w:gutter="0"/>
          <w:cols w:space="720" w:num="1"/>
        </w:sectPr>
      </w:pPr>
    </w:p>
    <w:p>
      <w:pPr>
        <w:rPr>
          <w:rFonts w:hint="eastAsia" w:ascii="宋体" w:hAnsi="宋体" w:eastAsia="宋体" w:cs="宋体"/>
          <w:b/>
          <w:bCs/>
          <w:color w:val="auto"/>
          <w:sz w:val="24"/>
          <w:szCs w:val="24"/>
          <w:highlight w:val="none"/>
          <w:lang w:val="en-US" w:eastAsia="zh-CN"/>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响应文件格式</w:t>
      </w:r>
      <w:bookmarkEnd w:id="68"/>
      <w:bookmarkEnd w:id="69"/>
    </w:p>
    <w:p>
      <w:pPr>
        <w:spacing w:line="900" w:lineRule="exact"/>
        <w:jc w:val="center"/>
        <w:outlineLvl w:val="9"/>
        <w:rPr>
          <w:rFonts w:hint="eastAsia" w:ascii="宋体" w:hAnsi="宋体" w:eastAsia="宋体" w:cs="宋体"/>
          <w:b/>
          <w:color w:val="auto"/>
          <w:sz w:val="72"/>
          <w:highlight w:val="none"/>
        </w:rPr>
      </w:pPr>
    </w:p>
    <w:p>
      <w:pPr>
        <w:spacing w:line="900" w:lineRule="exact"/>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pPr>
        <w:spacing w:line="900" w:lineRule="exact"/>
        <w:jc w:val="center"/>
        <w:outlineLvl w:val="9"/>
        <w:rPr>
          <w:rFonts w:hint="eastAsia" w:ascii="宋体" w:hAnsi="宋体" w:eastAsia="宋体" w:cs="宋体"/>
          <w:b/>
          <w:color w:val="auto"/>
          <w:sz w:val="72"/>
          <w:highlight w:val="none"/>
        </w:rPr>
      </w:pPr>
    </w:p>
    <w:p>
      <w:pPr>
        <w:spacing w:line="900" w:lineRule="exact"/>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pPr>
        <w:spacing w:line="900" w:lineRule="exact"/>
        <w:jc w:val="center"/>
        <w:outlineLvl w:val="9"/>
        <w:rPr>
          <w:rFonts w:hint="eastAsia" w:ascii="宋体" w:hAnsi="宋体" w:eastAsia="宋体" w:cs="宋体"/>
          <w:b/>
          <w:color w:val="auto"/>
          <w:sz w:val="72"/>
          <w:highlight w:val="none"/>
        </w:rPr>
      </w:pPr>
    </w:p>
    <w:p>
      <w:pPr>
        <w:spacing w:line="900" w:lineRule="exact"/>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pPr>
        <w:spacing w:line="900" w:lineRule="exact"/>
        <w:jc w:val="center"/>
        <w:outlineLvl w:val="9"/>
        <w:rPr>
          <w:rFonts w:hint="eastAsia" w:ascii="宋体" w:hAnsi="宋体" w:eastAsia="宋体" w:cs="宋体"/>
          <w:b/>
          <w:color w:val="auto"/>
          <w:sz w:val="72"/>
          <w:highlight w:val="none"/>
        </w:rPr>
      </w:pPr>
    </w:p>
    <w:p>
      <w:pPr>
        <w:jc w:val="center"/>
        <w:outlineLvl w:val="9"/>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pPr>
        <w:spacing w:afterLines="50"/>
        <w:jc w:val="center"/>
        <w:outlineLvl w:val="9"/>
        <w:rPr>
          <w:rFonts w:hint="eastAsia" w:ascii="宋体" w:hAnsi="宋体" w:eastAsia="宋体" w:cs="宋体"/>
          <w:b/>
          <w:color w:val="auto"/>
          <w:sz w:val="72"/>
          <w:highlight w:val="none"/>
        </w:rPr>
      </w:pPr>
    </w:p>
    <w:p>
      <w:pPr>
        <w:pStyle w:val="8"/>
        <w:spacing w:after="0" w:line="360" w:lineRule="auto"/>
        <w:ind w:firstLine="643" w:firstLineChars="200"/>
        <w:jc w:val="center"/>
        <w:outlineLvl w:val="9"/>
        <w:rPr>
          <w:rFonts w:hint="eastAsia" w:ascii="宋体" w:hAnsi="宋体" w:eastAsia="宋体" w:cs="宋体"/>
          <w:color w:val="auto"/>
          <w:sz w:val="24"/>
          <w:szCs w:val="18"/>
          <w:highlight w:val="none"/>
          <w:lang w:val="en-US"/>
        </w:rPr>
      </w:pPr>
      <w:bookmarkStart w:id="71" w:name="_Toc32506"/>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rPr>
        <w:t>包】</w:t>
      </w:r>
      <w:bookmarkEnd w:id="71"/>
      <w:r>
        <w:rPr>
          <w:rFonts w:hint="eastAsia" w:ascii="宋体" w:hAnsi="宋体" w:eastAsia="宋体" w:cs="宋体"/>
          <w:i/>
          <w:iCs/>
          <w:color w:val="auto"/>
          <w:sz w:val="24"/>
          <w:szCs w:val="18"/>
          <w:highlight w:val="none"/>
          <w:lang w:val="en-US"/>
        </w:rPr>
        <w:t>（如不分包，请删去本行）</w:t>
      </w:r>
    </w:p>
    <w:p>
      <w:pPr>
        <w:spacing w:afterLines="50" w:line="500" w:lineRule="exact"/>
        <w:outlineLvl w:val="9"/>
        <w:rPr>
          <w:rFonts w:hint="eastAsia" w:ascii="宋体" w:hAnsi="宋体" w:eastAsia="宋体" w:cs="宋体"/>
          <w:b/>
          <w:color w:val="auto"/>
          <w:sz w:val="72"/>
          <w:highlight w:val="none"/>
        </w:rPr>
      </w:pPr>
    </w:p>
    <w:p>
      <w:pPr>
        <w:spacing w:afterLines="50" w:line="500" w:lineRule="exact"/>
        <w:jc w:val="center"/>
        <w:outlineLvl w:val="9"/>
        <w:rPr>
          <w:rFonts w:hint="eastAsia" w:ascii="宋体" w:hAnsi="宋体" w:eastAsia="宋体" w:cs="宋体"/>
          <w:b/>
          <w:color w:val="auto"/>
          <w:sz w:val="28"/>
          <w:szCs w:val="28"/>
          <w:highlight w:val="none"/>
        </w:rPr>
      </w:pPr>
    </w:p>
    <w:p>
      <w:pPr>
        <w:tabs>
          <w:tab w:val="left" w:pos="2410"/>
        </w:tabs>
        <w:autoSpaceDE w:val="0"/>
        <w:autoSpaceDN w:val="0"/>
        <w:adjustRightInd w:val="0"/>
        <w:snapToGrid w:val="0"/>
        <w:spacing w:line="360" w:lineRule="auto"/>
        <w:ind w:firstLine="643" w:firstLineChars="200"/>
        <w:outlineLvl w:val="9"/>
        <w:rPr>
          <w:rFonts w:hint="eastAsia" w:ascii="宋体" w:hAnsi="宋体" w:eastAsia="宋体" w:cs="宋体"/>
          <w:b/>
          <w:color w:val="auto"/>
          <w:spacing w:val="20"/>
          <w:kern w:val="0"/>
          <w:sz w:val="32"/>
          <w:szCs w:val="32"/>
          <w:highlight w:val="none"/>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p>
    <w:p>
      <w:pPr>
        <w:tabs>
          <w:tab w:val="left" w:pos="2410"/>
        </w:tabs>
        <w:autoSpaceDE w:val="0"/>
        <w:autoSpaceDN w:val="0"/>
        <w:adjustRightInd w:val="0"/>
        <w:snapToGrid w:val="0"/>
        <w:spacing w:line="360" w:lineRule="auto"/>
        <w:ind w:firstLine="643" w:firstLineChars="200"/>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供 应 商：</w:t>
      </w:r>
      <w:r>
        <w:rPr>
          <w:rFonts w:hint="eastAsia" w:ascii="宋体" w:hAnsi="宋体" w:eastAsia="宋体" w:cs="宋体"/>
          <w:b/>
          <w:color w:val="auto"/>
          <w:sz w:val="32"/>
          <w:highlight w:val="none"/>
          <w:u w:val="single"/>
        </w:rPr>
        <w:t xml:space="preserve">                  </w:t>
      </w:r>
    </w:p>
    <w:p>
      <w:pPr>
        <w:spacing w:afterLines="50" w:line="500" w:lineRule="exact"/>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bookmarkStart w:id="72"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72"/>
    </w:p>
    <w:p>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pPr>
        <w:spacing w:line="360" w:lineRule="auto"/>
        <w:jc w:val="center"/>
        <w:outlineLvl w:val="1"/>
        <w:rPr>
          <w:rFonts w:hint="eastAsia" w:ascii="宋体" w:hAnsi="宋体" w:eastAsia="宋体" w:cs="宋体"/>
          <w:b/>
          <w:color w:val="auto"/>
          <w:sz w:val="24"/>
          <w:highlight w:val="none"/>
        </w:rPr>
      </w:pPr>
      <w:bookmarkStart w:id="73" w:name="_Toc461053086"/>
      <w:bookmarkStart w:id="74" w:name="_Toc461056631"/>
      <w:bookmarkStart w:id="75" w:name="_Toc5881"/>
      <w:bookmarkStart w:id="76" w:name="_Toc26791"/>
      <w:bookmarkStart w:id="77" w:name="_Toc520983587"/>
      <w:r>
        <w:rPr>
          <w:rFonts w:hint="eastAsia" w:ascii="宋体" w:hAnsi="宋体" w:eastAsia="宋体" w:cs="宋体"/>
          <w:b/>
          <w:color w:val="auto"/>
          <w:sz w:val="24"/>
          <w:highlight w:val="none"/>
        </w:rPr>
        <w:t>一</w:t>
      </w:r>
      <w:bookmarkEnd w:id="73"/>
      <w:bookmarkEnd w:id="74"/>
      <w:r>
        <w:rPr>
          <w:rFonts w:hint="eastAsia" w:ascii="宋体" w:hAnsi="宋体" w:eastAsia="宋体" w:cs="宋体"/>
          <w:b/>
          <w:color w:val="auto"/>
          <w:sz w:val="24"/>
          <w:highlight w:val="none"/>
        </w:rPr>
        <w:t>、报价表格式</w:t>
      </w:r>
      <w:bookmarkEnd w:id="75"/>
      <w:bookmarkEnd w:id="76"/>
      <w:bookmarkEnd w:id="77"/>
    </w:p>
    <w:p>
      <w:pPr>
        <w:spacing w:beforeLines="50" w:afterLines="50" w:line="360" w:lineRule="auto"/>
        <w:jc w:val="left"/>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pPr>
        <w:snapToGrid w:val="0"/>
        <w:spacing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6648" w:type="dxa"/>
            <w:tcBorders>
              <w:left w:val="single" w:color="auto" w:sz="4" w:space="0"/>
            </w:tcBorders>
          </w:tcPr>
          <w:p>
            <w:pPr>
              <w:spacing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648" w:type="dxa"/>
            <w:tcBorders>
              <w:left w:val="single" w:color="auto" w:sz="4" w:space="0"/>
            </w:tcBorders>
            <w:vAlign w:val="center"/>
          </w:tcPr>
          <w:p>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28"/>
                <w:highlight w:val="none"/>
              </w:rPr>
              <w:t>全部 / 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697" w:type="dxa"/>
            <w:tcBorders>
              <w:top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6648" w:type="dxa"/>
            <w:vAlign w:val="center"/>
          </w:tcPr>
          <w:p>
            <w:pPr>
              <w:snapToGrid w:val="0"/>
              <w:spacing w:line="360" w:lineRule="auto"/>
              <w:rPr>
                <w:rFonts w:hint="eastAsia" w:ascii="宋体" w:hAnsi="宋体" w:eastAsia="宋体" w:cs="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pPr>
              <w:snapToGrid w:val="0"/>
              <w:spacing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697"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648" w:type="dxa"/>
          </w:tcPr>
          <w:p>
            <w:pPr>
              <w:spacing w:line="360" w:lineRule="auto"/>
              <w:rPr>
                <w:rFonts w:hint="eastAsia" w:ascii="宋体" w:hAnsi="宋体" w:eastAsia="宋体" w:cs="宋体"/>
                <w:b/>
                <w:color w:val="auto"/>
                <w:sz w:val="24"/>
                <w:highlight w:val="none"/>
              </w:rPr>
            </w:pPr>
          </w:p>
        </w:tc>
      </w:tr>
    </w:tbl>
    <w:p>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3.表中大写金额与小写金额不一致的，以大写金额为准。</w:t>
      </w:r>
    </w:p>
    <w:p>
      <w:pPr>
        <w:widowControl/>
        <w:jc w:val="lef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pPr>
        <w:spacing w:beforeLines="50" w:afterLines="50" w:line="360" w:lineRule="auto"/>
        <w:jc w:val="left"/>
        <w:outlineLvl w:val="2"/>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1-2 分项报价明细表</w:t>
      </w:r>
    </w:p>
    <w:p>
      <w:pPr>
        <w:spacing w:line="360" w:lineRule="auto"/>
        <w:ind w:firstLine="435"/>
        <w:jc w:val="center"/>
        <w:rPr>
          <w:rFonts w:hint="eastAsia" w:ascii="宋体" w:hAnsi="宋体" w:eastAsia="宋体" w:cs="宋体"/>
          <w:b/>
          <w:color w:val="auto"/>
          <w:sz w:val="24"/>
          <w:highlight w:val="none"/>
        </w:rPr>
      </w:pPr>
      <w:r>
        <w:rPr>
          <w:rFonts w:hint="eastAsia" w:ascii="宋体" w:hAnsi="宋体" w:eastAsia="宋体" w:cs="宋体"/>
          <w:i/>
          <w:color w:val="auto"/>
          <w:sz w:val="24"/>
          <w:highlight w:val="none"/>
        </w:rPr>
        <w:t>（仅供参考，供应商可自行制作格式）</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409"/>
        <w:gridCol w:w="1488"/>
        <w:gridCol w:w="1862"/>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67"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409"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服务内容</w:t>
            </w:r>
          </w:p>
        </w:tc>
        <w:tc>
          <w:tcPr>
            <w:tcW w:w="1488"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w:t>
            </w:r>
          </w:p>
        </w:tc>
        <w:tc>
          <w:tcPr>
            <w:tcW w:w="1862"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719" w:type="dxa"/>
            <w:vAlign w:val="center"/>
          </w:tcPr>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tcBorders>
              <w:bottom w:val="single" w:color="auto" w:sz="4" w:space="0"/>
            </w:tcBorders>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409" w:type="dxa"/>
            <w:vAlign w:val="center"/>
          </w:tcPr>
          <w:p>
            <w:pPr>
              <w:jc w:val="center"/>
              <w:rPr>
                <w:rFonts w:hint="eastAsia" w:ascii="宋体" w:hAnsi="宋体" w:eastAsia="宋体" w:cs="宋体"/>
                <w:color w:val="auto"/>
                <w:sz w:val="24"/>
                <w:highlight w:val="none"/>
              </w:rPr>
            </w:pP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p>
        </w:tc>
        <w:tc>
          <w:tcPr>
            <w:tcW w:w="3409" w:type="dxa"/>
            <w:vAlign w:val="center"/>
          </w:tcPr>
          <w:p>
            <w:pPr>
              <w:pStyle w:val="49"/>
              <w:ind w:left="-108"/>
              <w:jc w:val="center"/>
              <w:rPr>
                <w:rFonts w:hint="eastAsia" w:ascii="宋体" w:hAnsi="宋体" w:eastAsia="宋体" w:cs="宋体"/>
                <w:color w:val="auto"/>
                <w:highlight w:val="none"/>
              </w:rPr>
            </w:pPr>
            <w:r>
              <w:rPr>
                <w:rFonts w:hint="eastAsia" w:ascii="宋体" w:hAnsi="宋体" w:eastAsia="宋体" w:cs="宋体"/>
                <w:color w:val="auto"/>
                <w:highlight w:val="none"/>
              </w:rPr>
              <w:t>其他费用</w:t>
            </w: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67" w:type="dxa"/>
            <w:vAlign w:val="center"/>
          </w:tcPr>
          <w:p>
            <w:pPr>
              <w:jc w:val="center"/>
              <w:rPr>
                <w:rFonts w:hint="eastAsia" w:ascii="宋体" w:hAnsi="宋体" w:eastAsia="宋体" w:cs="宋体"/>
                <w:color w:val="auto"/>
                <w:sz w:val="24"/>
                <w:highlight w:val="none"/>
              </w:rPr>
            </w:pPr>
          </w:p>
        </w:tc>
        <w:tc>
          <w:tcPr>
            <w:tcW w:w="340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488" w:type="dxa"/>
            <w:vAlign w:val="center"/>
          </w:tcPr>
          <w:p>
            <w:pPr>
              <w:jc w:val="center"/>
              <w:rPr>
                <w:rFonts w:hint="eastAsia" w:ascii="宋体" w:hAnsi="宋体" w:eastAsia="宋体" w:cs="宋体"/>
                <w:color w:val="auto"/>
                <w:sz w:val="24"/>
                <w:highlight w:val="none"/>
              </w:rPr>
            </w:pPr>
          </w:p>
        </w:tc>
        <w:tc>
          <w:tcPr>
            <w:tcW w:w="1862" w:type="dxa"/>
            <w:vAlign w:val="center"/>
          </w:tcPr>
          <w:p>
            <w:pPr>
              <w:jc w:val="center"/>
              <w:rPr>
                <w:rFonts w:hint="eastAsia" w:ascii="宋体" w:hAnsi="宋体" w:eastAsia="宋体" w:cs="宋体"/>
                <w:color w:val="auto"/>
                <w:sz w:val="24"/>
                <w:highlight w:val="none"/>
              </w:rPr>
            </w:pPr>
          </w:p>
        </w:tc>
        <w:tc>
          <w:tcPr>
            <w:tcW w:w="1719"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626" w:type="dxa"/>
            <w:gridSpan w:val="4"/>
            <w:vAlign w:val="center"/>
          </w:tcPr>
          <w:p>
            <w:pPr>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合计金额（元）</w:t>
            </w:r>
          </w:p>
        </w:tc>
        <w:tc>
          <w:tcPr>
            <w:tcW w:w="1719" w:type="dxa"/>
            <w:vAlign w:val="center"/>
          </w:tcPr>
          <w:p>
            <w:pPr>
              <w:jc w:val="center"/>
              <w:rPr>
                <w:rFonts w:hint="eastAsia" w:ascii="宋体" w:hAnsi="宋体" w:eastAsia="宋体" w:cs="宋体"/>
                <w:color w:val="auto"/>
                <w:sz w:val="24"/>
                <w:highlight w:val="none"/>
              </w:rPr>
            </w:pPr>
          </w:p>
        </w:tc>
      </w:tr>
    </w:tbl>
    <w:p>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表中所列服务为对应本项目需求的全部服务内容。如有漏项或缺项，供应商承担全部责任。</w:t>
      </w:r>
    </w:p>
    <w:p>
      <w:pPr>
        <w:widowControl/>
        <w:jc w:val="lef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br w:type="page"/>
      </w:r>
    </w:p>
    <w:p>
      <w:pPr>
        <w:spacing w:line="360" w:lineRule="auto"/>
        <w:jc w:val="center"/>
        <w:outlineLvl w:val="1"/>
        <w:rPr>
          <w:rFonts w:hint="eastAsia" w:ascii="宋体" w:hAnsi="宋体" w:eastAsia="宋体" w:cs="宋体"/>
          <w:b/>
          <w:color w:val="auto"/>
          <w:sz w:val="24"/>
          <w:highlight w:val="none"/>
        </w:rPr>
      </w:pPr>
      <w:bookmarkStart w:id="78" w:name="_Toc461053087"/>
      <w:bookmarkStart w:id="79" w:name="_Toc461056632"/>
      <w:bookmarkStart w:id="80" w:name="_Toc520983588"/>
      <w:bookmarkStart w:id="81" w:name="_Toc32436"/>
      <w:bookmarkStart w:id="82" w:name="_Toc28695"/>
      <w:r>
        <w:rPr>
          <w:rFonts w:hint="eastAsia" w:ascii="宋体" w:hAnsi="宋体" w:eastAsia="宋体" w:cs="宋体"/>
          <w:b/>
          <w:color w:val="auto"/>
          <w:sz w:val="24"/>
          <w:highlight w:val="none"/>
        </w:rPr>
        <w:t>二</w:t>
      </w:r>
      <w:bookmarkEnd w:id="78"/>
      <w:bookmarkEnd w:id="79"/>
      <w:r>
        <w:rPr>
          <w:rFonts w:hint="eastAsia" w:ascii="宋体" w:hAnsi="宋体" w:eastAsia="宋体" w:cs="宋体"/>
          <w:b/>
          <w:color w:val="auto"/>
          <w:sz w:val="24"/>
          <w:highlight w:val="none"/>
        </w:rPr>
        <w:t>、最后承诺报价表</w:t>
      </w:r>
      <w:bookmarkEnd w:id="80"/>
      <w:bookmarkEnd w:id="81"/>
      <w:bookmarkEnd w:id="82"/>
    </w:p>
    <w:p>
      <w:pPr>
        <w:spacing w:beforeLines="50" w:afterLines="50" w:line="360" w:lineRule="auto"/>
        <w:ind w:firstLine="236" w:firstLineChars="98"/>
        <w:jc w:val="center"/>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（第</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color w:val="auto"/>
          <w:sz w:val="24"/>
          <w:szCs w:val="28"/>
          <w:highlight w:val="none"/>
        </w:rPr>
        <w:t>次报价书）</w:t>
      </w:r>
    </w:p>
    <w:p>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color w:val="auto"/>
          <w:sz w:val="24"/>
          <w:szCs w:val="28"/>
          <w:highlight w:val="none"/>
          <w:u w:val="single"/>
        </w:rPr>
        <w:t xml:space="preserve">          </w:t>
      </w:r>
    </w:p>
    <w:p>
      <w:pPr>
        <w:snapToGrid w:val="0"/>
        <w:spacing w:afterLines="50" w:line="360" w:lineRule="auto"/>
        <w:jc w:val="left"/>
        <w:rPr>
          <w:rFonts w:hint="eastAsia" w:ascii="宋体" w:hAnsi="宋体" w:eastAsia="宋体" w:cs="宋体"/>
          <w:b/>
          <w:bCs/>
          <w:color w:val="auto"/>
          <w:sz w:val="24"/>
          <w:szCs w:val="28"/>
          <w:highlight w:val="non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6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6648" w:type="dxa"/>
            <w:tcBorders>
              <w:left w:val="single" w:color="auto" w:sz="4" w:space="0"/>
            </w:tcBorders>
          </w:tcPr>
          <w:p>
            <w:pPr>
              <w:spacing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磋商</w:t>
            </w:r>
            <w:r>
              <w:rPr>
                <w:rFonts w:hint="eastAsia" w:ascii="宋体" w:hAnsi="宋体" w:eastAsia="宋体" w:cs="宋体"/>
                <w:b/>
                <w:color w:val="auto"/>
                <w:sz w:val="24"/>
                <w:highlight w:val="none"/>
              </w:rPr>
              <w:t>范围</w:t>
            </w:r>
          </w:p>
        </w:tc>
        <w:tc>
          <w:tcPr>
            <w:tcW w:w="6648" w:type="dxa"/>
            <w:tcBorders>
              <w:left w:val="single" w:color="auto" w:sz="4" w:space="0"/>
            </w:tcBorders>
            <w:vAlign w:val="center"/>
          </w:tcPr>
          <w:p>
            <w:pPr>
              <w:widowControl/>
              <w:spacing w:line="360" w:lineRule="exact"/>
              <w:rPr>
                <w:rFonts w:hint="eastAsia" w:ascii="宋体" w:hAnsi="宋体" w:eastAsia="宋体" w:cs="宋体"/>
                <w:b/>
                <w:color w:val="auto"/>
                <w:sz w:val="24"/>
                <w:highlight w:val="none"/>
              </w:rPr>
            </w:pPr>
            <w:r>
              <w:rPr>
                <w:rFonts w:hint="eastAsia" w:ascii="宋体" w:hAnsi="宋体" w:eastAsia="宋体" w:cs="宋体"/>
                <w:color w:val="auto"/>
                <w:sz w:val="24"/>
                <w:szCs w:val="28"/>
                <w:highlight w:val="none"/>
              </w:rPr>
              <w:t>全部 / 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697" w:type="dxa"/>
            <w:tcBorders>
              <w:top w:val="single" w:color="auto" w:sz="4" w:space="0"/>
            </w:tcBorders>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最后报价</w:t>
            </w:r>
          </w:p>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（详见备注说明）</w:t>
            </w:r>
          </w:p>
        </w:tc>
        <w:tc>
          <w:tcPr>
            <w:tcW w:w="6648" w:type="dxa"/>
            <w:vAlign w:val="center"/>
          </w:tcPr>
          <w:p>
            <w:pPr>
              <w:snapToGrid w:val="0"/>
              <w:spacing w:line="360" w:lineRule="auto"/>
              <w:rPr>
                <w:rFonts w:hint="eastAsia" w:ascii="宋体" w:hAnsi="宋体" w:eastAsia="宋体" w:cs="宋体"/>
                <w:color w:val="auto"/>
                <w:sz w:val="24"/>
                <w:szCs w:val="28"/>
                <w:highlight w:val="none"/>
              </w:rPr>
            </w:pPr>
          </w:p>
          <w:p>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pPr>
              <w:spacing w:line="360" w:lineRule="auto"/>
              <w:ind w:right="-670"/>
              <w:rPr>
                <w:rFonts w:hint="eastAsia" w:ascii="宋体" w:hAnsi="宋体" w:eastAsia="宋体" w:cs="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2697"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648" w:type="dxa"/>
          </w:tcPr>
          <w:p>
            <w:pPr>
              <w:spacing w:line="360" w:lineRule="auto"/>
              <w:rPr>
                <w:rFonts w:hint="eastAsia" w:ascii="宋体" w:hAnsi="宋体" w:eastAsia="宋体" w:cs="宋体"/>
                <w:b/>
                <w:color w:val="auto"/>
                <w:sz w:val="24"/>
                <w:highlight w:val="none"/>
              </w:rPr>
            </w:pPr>
            <w:r>
              <w:rPr>
                <w:rFonts w:hint="eastAsia" w:ascii="宋体" w:hAnsi="宋体" w:eastAsia="宋体" w:cs="宋体"/>
                <w:b/>
                <w:i/>
                <w:color w:val="auto"/>
                <w:sz w:val="24"/>
                <w:highlight w:val="none"/>
              </w:rPr>
              <w:t>（此处可补充磋商小组根据与供应商磋商情况变动的磋商文件的内容，包括采购需求中的技术、服务要求以及合同草案条款。）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697" w:type="dxa"/>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8"/>
                <w:highlight w:val="none"/>
              </w:rPr>
              <w:t>磋商小组签字</w:t>
            </w:r>
          </w:p>
        </w:tc>
        <w:tc>
          <w:tcPr>
            <w:tcW w:w="6648" w:type="dxa"/>
          </w:tcPr>
          <w:p>
            <w:pPr>
              <w:spacing w:line="360" w:lineRule="auto"/>
              <w:rPr>
                <w:rFonts w:hint="eastAsia" w:ascii="宋体" w:hAnsi="宋体" w:eastAsia="宋体" w:cs="宋体"/>
                <w:b/>
                <w:color w:val="auto"/>
                <w:sz w:val="24"/>
                <w:highlight w:val="none"/>
              </w:rPr>
            </w:pPr>
          </w:p>
        </w:tc>
      </w:tr>
    </w:tbl>
    <w:p>
      <w:pPr>
        <w:spacing w:line="360" w:lineRule="auto"/>
        <w:ind w:firstLine="3600" w:firstLineChars="15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供应商公章或授权代表签字：</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w:t>
      </w:r>
    </w:p>
    <w:p>
      <w:pPr>
        <w:spacing w:line="360" w:lineRule="auto"/>
        <w:ind w:firstLine="482" w:firstLineChars="200"/>
        <w:jc w:val="left"/>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1.本页《报价表》由供应商在接到报价通知后依据磋商情况填写,并在规定时间内提交。</w:t>
      </w:r>
      <w:r>
        <w:rPr>
          <w:rFonts w:hint="eastAsia" w:ascii="宋体" w:hAnsi="宋体" w:eastAsia="宋体" w:cs="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cs="宋体"/>
          <w:bCs/>
          <w:color w:val="auto"/>
          <w:sz w:val="24"/>
          <w:highlight w:val="none"/>
        </w:rPr>
        <w:t>此优惠率调整原则适用于合同内价格的计算及项目增减、变更时价格的计算。</w:t>
      </w:r>
    </w:p>
    <w:p>
      <w:pPr>
        <w:adjustRightInd w:val="0"/>
        <w:snapToGrid w:val="0"/>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bCs/>
          <w:color w:val="auto"/>
          <w:sz w:val="24"/>
          <w:szCs w:val="28"/>
          <w:highlight w:val="none"/>
        </w:rPr>
        <w:t>2.表中大写金额与小写金额不一致的，以大写金额为准。</w:t>
      </w:r>
    </w:p>
    <w:p>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83" w:name="_Toc11500"/>
      <w:bookmarkStart w:id="84" w:name="_Toc520983591"/>
      <w:bookmarkStart w:id="85" w:name="_Toc32385"/>
      <w:r>
        <w:rPr>
          <w:rFonts w:hint="eastAsia" w:ascii="宋体" w:hAnsi="宋体" w:eastAsia="宋体" w:cs="宋体"/>
          <w:b/>
          <w:color w:val="auto"/>
          <w:sz w:val="24"/>
          <w:highlight w:val="none"/>
        </w:rPr>
        <w:t>三、磋商响应函</w:t>
      </w:r>
      <w:bookmarkEnd w:id="83"/>
      <w:bookmarkEnd w:id="84"/>
      <w:bookmarkEnd w:id="85"/>
    </w:p>
    <w:p>
      <w:pPr>
        <w:pStyle w:val="11"/>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（采购人全称）</w:t>
      </w:r>
    </w:p>
    <w:p>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w:t>
      </w:r>
      <w:bookmarkStart w:id="86" w:name="_Hlk44287543"/>
      <w:r>
        <w:rPr>
          <w:rFonts w:hint="eastAsia" w:ascii="宋体" w:hAnsi="宋体" w:eastAsia="宋体" w:cs="宋体"/>
          <w:color w:val="auto"/>
          <w:sz w:val="24"/>
          <w:highlight w:val="none"/>
        </w:rPr>
        <w:t>竞争性磋商公告和磋商邀请</w:t>
      </w:r>
      <w:bookmarkEnd w:id="86"/>
      <w:r>
        <w:rPr>
          <w:rFonts w:hint="eastAsia" w:ascii="宋体" w:hAnsi="宋体" w:eastAsia="宋体" w:cs="宋体"/>
          <w:color w:val="auto"/>
          <w:sz w:val="24"/>
          <w:highlight w:val="none"/>
        </w:rPr>
        <w:t>，我方兹宣布同意如下：</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2.我方已详细审核全部磋商文件，包括磋商文件附件及更正公告（如有），我方正式认可并遵守本次磋商文件，并对磋商文件各项条款、规定及要求均无异议。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3.我方同意从磋商文件规定的磋商日期起遵循本磋商文件，并在磋商文件规定的磋商有效期之前均具有约束力。</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pStyle w:val="8"/>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本公司在本项目投标过程中不存在与其他供应商文件制作机器码相同情形，否则自愿放弃本项目投标资格。</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87" w:name="_Toc21328"/>
      <w:r>
        <w:rPr>
          <w:rFonts w:hint="eastAsia" w:ascii="宋体" w:hAnsi="宋体" w:eastAsia="宋体" w:cs="宋体"/>
          <w:b/>
          <w:color w:val="auto"/>
          <w:sz w:val="24"/>
          <w:highlight w:val="none"/>
        </w:rPr>
        <w:t>四、供应商资格声明书</w:t>
      </w:r>
      <w:bookmarkEnd w:id="87"/>
    </w:p>
    <w:p>
      <w:pPr>
        <w:pStyle w:val="1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u w:val="single"/>
          <w:lang w:val="en-US" w:eastAsia="zh-CN"/>
        </w:rPr>
        <w:t>全称）</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在参与本次项目磋商中，我单位承诺：</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（一）具有良好的商业信誉和健全的财务会计制度；</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（二）具有履行合同所必需的设备和专业技术能力；</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（三）有依法缴纳税收和社会保障资金的良好记录；</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（六）与我单位存在单位负责人为同一人或者存在直接控股、管理关系的其他法人单位信息如下（如有，不论其是否参加同一合同项下的政府采购活动均须填写）：</w:t>
      </w:r>
    </w:p>
    <w:tbl>
      <w:tblPr>
        <w:tblStyle w:val="23"/>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4501"/>
        <w:gridCol w:w="2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4501"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单位名称</w:t>
            </w:r>
          </w:p>
        </w:tc>
        <w:tc>
          <w:tcPr>
            <w:tcW w:w="2681"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1</w:t>
            </w:r>
          </w:p>
        </w:tc>
        <w:tc>
          <w:tcPr>
            <w:tcW w:w="4501" w:type="dxa"/>
          </w:tcPr>
          <w:p>
            <w:pPr>
              <w:pStyle w:val="8"/>
              <w:jc w:val="center"/>
              <w:rPr>
                <w:rFonts w:hint="eastAsia" w:ascii="宋体" w:hAnsi="宋体" w:eastAsia="宋体" w:cs="宋体"/>
                <w:color w:val="auto"/>
                <w:kern w:val="0"/>
                <w:sz w:val="24"/>
                <w:highlight w:val="none"/>
                <w:lang w:val="en-US"/>
              </w:rPr>
            </w:pPr>
          </w:p>
        </w:tc>
        <w:tc>
          <w:tcPr>
            <w:tcW w:w="2681" w:type="dxa"/>
          </w:tcPr>
          <w:p>
            <w:pPr>
              <w:pStyle w:val="8"/>
              <w:jc w:val="center"/>
              <w:rPr>
                <w:rFonts w:hint="eastAsia" w:ascii="宋体" w:hAnsi="宋体" w:eastAsia="宋体" w:cs="宋体"/>
                <w:color w:val="auto"/>
                <w:kern w:val="0"/>
                <w:sz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8"/>
              <w:jc w:val="center"/>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2</w:t>
            </w:r>
          </w:p>
        </w:tc>
        <w:tc>
          <w:tcPr>
            <w:tcW w:w="4501" w:type="dxa"/>
          </w:tcPr>
          <w:p>
            <w:pPr>
              <w:pStyle w:val="8"/>
              <w:jc w:val="center"/>
              <w:rPr>
                <w:rFonts w:hint="eastAsia" w:ascii="宋体" w:hAnsi="宋体" w:eastAsia="宋体" w:cs="宋体"/>
                <w:color w:val="auto"/>
                <w:kern w:val="0"/>
                <w:sz w:val="24"/>
                <w:highlight w:val="none"/>
                <w:lang w:val="en-US"/>
              </w:rPr>
            </w:pPr>
          </w:p>
        </w:tc>
        <w:tc>
          <w:tcPr>
            <w:tcW w:w="2681" w:type="dxa"/>
          </w:tcPr>
          <w:p>
            <w:pPr>
              <w:pStyle w:val="8"/>
              <w:jc w:val="center"/>
              <w:rPr>
                <w:rFonts w:hint="eastAsia" w:ascii="宋体" w:hAnsi="宋体" w:eastAsia="宋体" w:cs="宋体"/>
                <w:color w:val="auto"/>
                <w:kern w:val="0"/>
                <w:sz w:val="24"/>
                <w:highlight w:val="none"/>
                <w:lang w:val="en-US"/>
              </w:rPr>
            </w:pPr>
          </w:p>
        </w:tc>
      </w:tr>
    </w:tbl>
    <w:p>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spacing w:line="440" w:lineRule="exact"/>
        <w:ind w:firstLine="4800" w:firstLineChars="2000"/>
        <w:rPr>
          <w:rFonts w:hint="eastAsia" w:ascii="宋体" w:hAnsi="宋体" w:eastAsia="宋体" w:cs="宋体"/>
          <w:color w:val="auto"/>
          <w:sz w:val="24"/>
          <w:szCs w:val="24"/>
          <w:highlight w:val="none"/>
          <w:u w:val="singl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88" w:name="_Toc31518"/>
      <w:bookmarkStart w:id="89" w:name="_Toc516969106"/>
      <w:bookmarkStart w:id="90" w:name="_Toc204594911"/>
      <w:bookmarkStart w:id="91" w:name="_Toc121626298"/>
      <w:bookmarkStart w:id="92" w:name="_Toc26922"/>
      <w:bookmarkStart w:id="93" w:name="_Toc520983594"/>
      <w:r>
        <w:rPr>
          <w:rFonts w:hint="eastAsia" w:ascii="宋体" w:hAnsi="宋体" w:eastAsia="宋体" w:cs="宋体"/>
          <w:b/>
          <w:color w:val="auto"/>
          <w:sz w:val="24"/>
          <w:highlight w:val="none"/>
        </w:rPr>
        <w:t>五、授权书</w:t>
      </w:r>
      <w:bookmarkEnd w:id="88"/>
      <w:bookmarkEnd w:id="89"/>
      <w:bookmarkEnd w:id="90"/>
      <w:bookmarkEnd w:id="91"/>
      <w:bookmarkEnd w:id="92"/>
      <w:bookmarkEnd w:id="93"/>
    </w:p>
    <w:p>
      <w:pPr>
        <w:spacing w:line="360" w:lineRule="auto"/>
        <w:jc w:val="center"/>
        <w:rPr>
          <w:rFonts w:hint="eastAsia" w:ascii="宋体" w:hAnsi="宋体" w:eastAsia="宋体" w:cs="宋体"/>
          <w:b/>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（供应商名称）授权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（供应商授权代表姓名）代表我方参加本项目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10"/>
        <w:snapToGrid w:val="0"/>
        <w:spacing w:line="360" w:lineRule="auto"/>
        <w:ind w:firstLine="480" w:firstLineChars="2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pPr>
        <w:pStyle w:val="1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授权代表</w:t>
      </w:r>
      <w:r>
        <w:rPr>
          <w:rFonts w:hint="eastAsia" w:ascii="宋体" w:hAnsi="宋体" w:eastAsia="宋体" w:cs="宋体"/>
          <w:color w:val="auto"/>
          <w:sz w:val="24"/>
          <w:highlight w:val="none"/>
        </w:rPr>
        <w:t>身份证明扫描件：</w:t>
      </w: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highlight w:val="none"/>
        </w:rPr>
      </w:pPr>
    </w:p>
    <w:p>
      <w:pPr>
        <w:pStyle w:val="10"/>
        <w:snapToGrid w:val="0"/>
        <w:spacing w:line="360" w:lineRule="auto"/>
        <w:ind w:firstLine="480" w:firstLineChars="200"/>
        <w:jc w:val="left"/>
        <w:rPr>
          <w:rFonts w:hint="eastAsia" w:ascii="宋体" w:hAnsi="宋体" w:eastAsia="宋体" w:cs="宋体"/>
          <w:color w:val="auto"/>
          <w:sz w:val="24"/>
          <w:szCs w:val="28"/>
          <w:highlight w:val="none"/>
          <w:u w:val="single"/>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pPr>
        <w:pStyle w:val="10"/>
        <w:snapToGrid w:val="0"/>
        <w:spacing w:line="360" w:lineRule="auto"/>
        <w:ind w:firstLine="480" w:firstLineChars="200"/>
        <w:jc w:val="left"/>
        <w:rPr>
          <w:rFonts w:hint="eastAsia" w:ascii="宋体" w:hAnsi="宋体" w:eastAsia="宋体" w:cs="宋体"/>
          <w:color w:val="auto"/>
          <w:sz w:val="24"/>
          <w:szCs w:val="28"/>
          <w:highlight w:val="none"/>
        </w:rPr>
      </w:pPr>
    </w:p>
    <w:p>
      <w:pPr>
        <w:spacing w:line="360" w:lineRule="auto"/>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特此声明。</w:t>
      </w:r>
    </w:p>
    <w:p>
      <w:pPr>
        <w:spacing w:line="360" w:lineRule="auto"/>
        <w:rPr>
          <w:rFonts w:hint="eastAsia" w:ascii="宋体" w:hAnsi="宋体" w:eastAsia="宋体" w:cs="宋体"/>
          <w:color w:val="auto"/>
          <w:sz w:val="24"/>
          <w:szCs w:val="28"/>
          <w:highlight w:val="none"/>
        </w:rPr>
      </w:pPr>
    </w:p>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szCs w:val="28"/>
          <w:highlight w:val="none"/>
        </w:rPr>
      </w:pPr>
    </w:p>
    <w:p>
      <w:pPr>
        <w:spacing w:line="360" w:lineRule="auto"/>
        <w:rPr>
          <w:rFonts w:hint="eastAsia" w:ascii="宋体" w:hAnsi="宋体" w:eastAsia="宋体" w:cs="宋体"/>
          <w:color w:val="auto"/>
          <w:sz w:val="24"/>
          <w:szCs w:val="28"/>
          <w:highlight w:val="none"/>
        </w:rPr>
      </w:pPr>
    </w:p>
    <w:p>
      <w:pPr>
        <w:pStyle w:val="10"/>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注：</w:t>
      </w:r>
    </w:p>
    <w:p>
      <w:pPr>
        <w:pStyle w:val="10"/>
        <w:snapToGrid w:val="0"/>
        <w:spacing w:line="360" w:lineRule="auto"/>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1.本项目只允许有唯一的供应商授权代表，提供身份证明扫描件；</w:t>
      </w: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94" w:name="_Toc28033"/>
      <w:bookmarkStart w:id="95" w:name="_Toc22233"/>
      <w:r>
        <w:rPr>
          <w:rFonts w:hint="eastAsia" w:ascii="宋体" w:hAnsi="宋体" w:eastAsia="宋体" w:cs="宋体"/>
          <w:b/>
          <w:color w:val="auto"/>
          <w:sz w:val="24"/>
          <w:highlight w:val="none"/>
        </w:rPr>
        <w:t>六、磋商响应表</w:t>
      </w:r>
      <w:bookmarkEnd w:id="94"/>
      <w:bookmarkEnd w:id="95"/>
    </w:p>
    <w:p>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02"/>
        <w:gridCol w:w="2739"/>
        <w:gridCol w:w="2823"/>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3"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102"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2739"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磋商文件要求</w:t>
            </w:r>
          </w:p>
        </w:tc>
        <w:tc>
          <w:tcPr>
            <w:tcW w:w="2823"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供应商承诺</w:t>
            </w:r>
          </w:p>
        </w:tc>
        <w:tc>
          <w:tcPr>
            <w:tcW w:w="888" w:type="dxa"/>
            <w:vAlign w:val="center"/>
          </w:tcPr>
          <w:p>
            <w:pPr>
              <w:pStyle w:val="1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0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jc w:val="center"/>
              <w:rPr>
                <w:rFonts w:hint="eastAsia" w:ascii="宋体" w:hAnsi="宋体" w:eastAsia="宋体" w:cs="宋体"/>
                <w:color w:val="auto"/>
                <w:sz w:val="24"/>
                <w:highlight w:val="none"/>
              </w:rPr>
            </w:pPr>
          </w:p>
        </w:tc>
        <w:tc>
          <w:tcPr>
            <w:tcW w:w="88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0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jc w:val="center"/>
              <w:rPr>
                <w:rFonts w:hint="eastAsia" w:ascii="宋体" w:hAnsi="宋体" w:eastAsia="宋体" w:cs="宋体"/>
                <w:color w:val="auto"/>
                <w:sz w:val="24"/>
                <w:highlight w:val="none"/>
              </w:rPr>
            </w:pPr>
          </w:p>
        </w:tc>
        <w:tc>
          <w:tcPr>
            <w:tcW w:w="88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0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pStyle w:val="49"/>
              <w:jc w:val="center"/>
              <w:rPr>
                <w:rFonts w:hint="eastAsia" w:ascii="宋体" w:hAnsi="宋体" w:eastAsia="宋体" w:cs="宋体"/>
                <w:color w:val="auto"/>
                <w:highlight w:val="none"/>
              </w:rPr>
            </w:pPr>
          </w:p>
        </w:tc>
        <w:tc>
          <w:tcPr>
            <w:tcW w:w="888"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102" w:type="dxa"/>
            <w:vAlign w:val="center"/>
          </w:tcPr>
          <w:p>
            <w:pPr>
              <w:jc w:val="center"/>
              <w:rPr>
                <w:rFonts w:hint="eastAsia" w:ascii="宋体" w:hAnsi="宋体" w:eastAsia="宋体" w:cs="宋体"/>
                <w:color w:val="auto"/>
                <w:sz w:val="24"/>
                <w:highlight w:val="none"/>
              </w:rPr>
            </w:pPr>
          </w:p>
        </w:tc>
        <w:tc>
          <w:tcPr>
            <w:tcW w:w="2739" w:type="dxa"/>
            <w:vAlign w:val="center"/>
          </w:tcPr>
          <w:p>
            <w:pPr>
              <w:jc w:val="center"/>
              <w:rPr>
                <w:rFonts w:hint="eastAsia" w:ascii="宋体" w:hAnsi="宋体" w:eastAsia="宋体" w:cs="宋体"/>
                <w:color w:val="auto"/>
                <w:sz w:val="24"/>
                <w:highlight w:val="none"/>
              </w:rPr>
            </w:pPr>
          </w:p>
        </w:tc>
        <w:tc>
          <w:tcPr>
            <w:tcW w:w="2823" w:type="dxa"/>
            <w:vAlign w:val="center"/>
          </w:tcPr>
          <w:p>
            <w:pPr>
              <w:jc w:val="center"/>
              <w:rPr>
                <w:rFonts w:hint="eastAsia" w:ascii="宋体" w:hAnsi="宋体" w:eastAsia="宋体" w:cs="宋体"/>
                <w:color w:val="auto"/>
                <w:sz w:val="24"/>
                <w:highlight w:val="none"/>
              </w:rPr>
            </w:pPr>
          </w:p>
        </w:tc>
        <w:tc>
          <w:tcPr>
            <w:tcW w:w="888" w:type="dxa"/>
            <w:vAlign w:val="center"/>
          </w:tcPr>
          <w:p>
            <w:pPr>
              <w:jc w:val="center"/>
              <w:rPr>
                <w:rFonts w:hint="eastAsia" w:ascii="宋体" w:hAnsi="宋体" w:eastAsia="宋体" w:cs="宋体"/>
                <w:color w:val="auto"/>
                <w:sz w:val="24"/>
                <w:highlight w:val="none"/>
              </w:rPr>
            </w:pPr>
          </w:p>
        </w:tc>
      </w:tr>
    </w:tbl>
    <w:p>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供应商签章：</w:t>
      </w:r>
      <w:r>
        <w:rPr>
          <w:rFonts w:hint="eastAsia" w:ascii="宋体" w:hAnsi="宋体" w:eastAsia="宋体" w:cs="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pStyle w:val="11"/>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jc w:val="center"/>
        <w:outlineLvl w:val="1"/>
        <w:rPr>
          <w:rFonts w:hint="eastAsia" w:ascii="宋体" w:hAnsi="宋体" w:eastAsia="宋体" w:cs="宋体"/>
          <w:b/>
          <w:color w:val="auto"/>
          <w:sz w:val="24"/>
          <w:highlight w:val="none"/>
        </w:rPr>
      </w:pPr>
      <w:bookmarkStart w:id="96" w:name="_Toc2278"/>
      <w:bookmarkStart w:id="97" w:name="_Toc20592"/>
      <w:bookmarkStart w:id="98" w:name="_Hlk44283088"/>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、诚信履约承诺函</w:t>
      </w:r>
      <w:bookmarkEnd w:id="96"/>
      <w:bookmarkEnd w:id="97"/>
    </w:p>
    <w:p>
      <w:pPr>
        <w:spacing w:line="360" w:lineRule="auto"/>
        <w:rPr>
          <w:rFonts w:hint="eastAsia" w:ascii="宋体" w:hAnsi="宋体" w:eastAsia="宋体" w:cs="宋体"/>
          <w:b/>
          <w:bCs/>
          <w:color w:val="auto"/>
          <w:sz w:val="24"/>
          <w:highlight w:val="none"/>
        </w:rPr>
      </w:pPr>
    </w:p>
    <w:p>
      <w:pPr>
        <w:spacing w:line="360" w:lineRule="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szCs w:val="22"/>
          <w:highlight w:val="none"/>
          <w:u w:val="single"/>
          <w:lang w:val="en-US" w:eastAsia="zh-CN"/>
        </w:rPr>
        <w:t xml:space="preserve">   （</w:t>
      </w:r>
      <w:r>
        <w:rPr>
          <w:rFonts w:hint="eastAsia" w:ascii="宋体" w:hAnsi="宋体" w:eastAsia="宋体" w:cs="宋体"/>
          <w:b/>
          <w:bCs/>
          <w:color w:val="auto"/>
          <w:sz w:val="24"/>
          <w:szCs w:val="22"/>
          <w:highlight w:val="none"/>
          <w:u w:val="single"/>
        </w:rPr>
        <w:t>采购人</w:t>
      </w:r>
      <w:r>
        <w:rPr>
          <w:rFonts w:hint="eastAsia" w:ascii="宋体" w:hAnsi="宋体" w:eastAsia="宋体" w:cs="宋体"/>
          <w:b/>
          <w:bCs/>
          <w:color w:val="auto"/>
          <w:sz w:val="24"/>
          <w:szCs w:val="22"/>
          <w:highlight w:val="none"/>
          <w:u w:val="single"/>
          <w:lang w:val="en-US" w:eastAsia="zh-CN"/>
        </w:rPr>
        <w:t>全称）</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宋体" w:hAnsi="宋体" w:eastAsia="宋体" w:cs="宋体"/>
          <w:bCs/>
          <w:color w:val="auto"/>
          <w:sz w:val="24"/>
          <w:highlight w:val="none"/>
          <w:lang w:eastAsia="zh-CN"/>
        </w:rPr>
        <w:t>磋商文件</w:t>
      </w:r>
      <w:r>
        <w:rPr>
          <w:rFonts w:hint="eastAsia" w:ascii="宋体" w:hAnsi="宋体" w:eastAsia="宋体" w:cs="宋体"/>
          <w:bCs/>
          <w:color w:val="auto"/>
          <w:sz w:val="24"/>
          <w:highlight w:val="none"/>
        </w:rPr>
        <w:t>中关于合同签订及履约的相关规定，不出现以下情形：</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w:t>
      </w:r>
      <w:r>
        <w:rPr>
          <w:rFonts w:hint="eastAsia" w:ascii="宋体" w:hAnsi="宋体" w:eastAsia="宋体" w:cs="宋体"/>
          <w:bCs/>
          <w:color w:val="auto"/>
          <w:sz w:val="24"/>
          <w:highlight w:val="none"/>
          <w:lang w:eastAsia="zh-CN"/>
        </w:rPr>
        <w:t>磋商文件</w:t>
      </w:r>
      <w:r>
        <w:rPr>
          <w:rFonts w:hint="eastAsia" w:ascii="宋体" w:hAnsi="宋体" w:eastAsia="宋体" w:cs="宋体"/>
          <w:bCs/>
          <w:color w:val="auto"/>
          <w:sz w:val="24"/>
          <w:highlight w:val="none"/>
        </w:rPr>
        <w:t>确定的事项签订政府采购合同；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hint="eastAsia" w:ascii="宋体" w:hAnsi="宋体" w:eastAsia="宋体" w:cs="宋体"/>
          <w:bCs/>
          <w:color w:val="auto"/>
          <w:sz w:val="24"/>
          <w:highlight w:val="none"/>
        </w:rPr>
      </w:pPr>
    </w:p>
    <w:p>
      <w:pPr>
        <w:spacing w:line="360" w:lineRule="auto"/>
        <w:rPr>
          <w:rFonts w:hint="eastAsia" w:ascii="宋体" w:hAnsi="宋体" w:eastAsia="宋体" w:cs="宋体"/>
          <w:bCs/>
          <w:color w:val="auto"/>
          <w:sz w:val="24"/>
          <w:highlight w:val="none"/>
        </w:rPr>
      </w:pPr>
    </w:p>
    <w:p>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供应商签章：</w:t>
      </w:r>
      <w:r>
        <w:rPr>
          <w:rFonts w:hint="eastAsia" w:ascii="宋体" w:hAnsi="宋体" w:eastAsia="宋体" w:cs="宋体"/>
          <w:bCs/>
          <w:color w:val="auto"/>
          <w:sz w:val="24"/>
          <w:highlight w:val="none"/>
          <w:u w:val="single"/>
        </w:rPr>
        <w:t xml:space="preserve">             </w:t>
      </w:r>
    </w:p>
    <w:p>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bookmarkEnd w:id="98"/>
    <w:p>
      <w:pPr>
        <w:spacing w:line="360" w:lineRule="auto"/>
        <w:jc w:val="center"/>
        <w:outlineLvl w:val="1"/>
        <w:rPr>
          <w:rFonts w:hint="eastAsia" w:ascii="宋体" w:hAnsi="宋体" w:eastAsia="宋体" w:cs="宋体"/>
          <w:b/>
          <w:color w:val="auto"/>
          <w:sz w:val="24"/>
          <w:highlight w:val="none"/>
        </w:rPr>
      </w:pPr>
      <w:bookmarkStart w:id="99" w:name="_Toc3826"/>
      <w:bookmarkStart w:id="100" w:name="_Toc7807"/>
      <w:r>
        <w:rPr>
          <w:rFonts w:hint="eastAsia" w:ascii="宋体" w:hAnsi="宋体" w:eastAsia="宋体" w:cs="宋体"/>
          <w:b/>
          <w:color w:val="auto"/>
          <w:sz w:val="24"/>
          <w:highlight w:val="none"/>
        </w:rPr>
        <w:t>十二、其他相关证明材料</w:t>
      </w:r>
      <w:bookmarkEnd w:id="99"/>
      <w:bookmarkEnd w:id="100"/>
    </w:p>
    <w:p>
      <w:pPr>
        <w:spacing w:line="360" w:lineRule="auto"/>
        <w:jc w:val="center"/>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w:t>
      </w:r>
      <w:r>
        <w:rPr>
          <w:rFonts w:hint="eastAsia" w:ascii="宋体" w:hAnsi="宋体" w:eastAsia="宋体" w:cs="宋体"/>
          <w:b/>
          <w:color w:val="auto"/>
          <w:sz w:val="24"/>
          <w:szCs w:val="22"/>
          <w:highlight w:val="none"/>
        </w:rPr>
        <w:t>提供符合磋商邀请、采购需求及评审方法和标准规定的相关证明文件。</w:t>
      </w: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供应商在响应文件制作时可在此栏内上传磋商文件要求的证明资料，如营业执照、资质证书、荣誉奖项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业绩证明材料</w:t>
      </w:r>
      <w:r>
        <w:rPr>
          <w:rFonts w:hint="eastAsia" w:ascii="宋体" w:hAnsi="宋体" w:eastAsia="宋体" w:cs="宋体"/>
          <w:color w:val="auto"/>
          <w:sz w:val="24"/>
          <w:highlight w:val="none"/>
        </w:rPr>
        <w:t>等，应将上述证明材料制作成扫描件。</w:t>
      </w:r>
    </w:p>
    <w:p>
      <w:pPr>
        <w:spacing w:line="360" w:lineRule="auto"/>
        <w:jc w:val="left"/>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二</w:t>
      </w:r>
      <w:r>
        <w:rPr>
          <w:rFonts w:hint="eastAsia" w:ascii="宋体" w:hAnsi="宋体" w:eastAsia="宋体" w:cs="宋体"/>
          <w:b/>
          <w:color w:val="auto"/>
          <w:sz w:val="24"/>
          <w:szCs w:val="22"/>
          <w:highlight w:val="none"/>
        </w:rPr>
        <w:t>）人员配备</w:t>
      </w:r>
      <w:r>
        <w:rPr>
          <w:rFonts w:hint="eastAsia" w:ascii="宋体" w:hAnsi="宋体" w:eastAsia="宋体" w:cs="宋体"/>
          <w:b/>
          <w:color w:val="auto"/>
          <w:sz w:val="24"/>
          <w:szCs w:val="22"/>
          <w:highlight w:val="none"/>
          <w:lang w:val="en-US" w:eastAsia="zh-CN"/>
        </w:rPr>
        <w:t>及</w:t>
      </w:r>
      <w:r>
        <w:rPr>
          <w:rFonts w:hint="eastAsia" w:ascii="宋体" w:hAnsi="宋体" w:eastAsia="宋体" w:cs="宋体"/>
          <w:b/>
          <w:color w:val="auto"/>
          <w:sz w:val="24"/>
          <w:szCs w:val="22"/>
          <w:highlight w:val="none"/>
        </w:rPr>
        <w:t>人员证书</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(供应商可自行制作格式)</w:t>
      </w:r>
    </w:p>
    <w:p>
      <w:pPr>
        <w:widowControl/>
        <w:jc w:val="left"/>
        <w:rPr>
          <w:rFonts w:hint="eastAsia" w:ascii="宋体" w:hAnsi="宋体" w:eastAsia="宋体" w:cs="宋体"/>
          <w:color w:val="auto"/>
          <w:sz w:val="24"/>
          <w:highlight w:val="none"/>
        </w:rPr>
      </w:pPr>
    </w:p>
    <w:p>
      <w:pPr>
        <w:spacing w:line="360" w:lineRule="auto"/>
        <w:jc w:val="left"/>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三</w:t>
      </w:r>
      <w:r>
        <w:rPr>
          <w:rFonts w:hint="eastAsia" w:ascii="宋体" w:hAnsi="宋体" w:eastAsia="宋体" w:cs="宋体"/>
          <w:b/>
          <w:color w:val="auto"/>
          <w:sz w:val="24"/>
          <w:szCs w:val="22"/>
          <w:highlight w:val="none"/>
        </w:rPr>
        <w:t>）服务方案</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(供应商可自行制作格式)</w:t>
      </w:r>
    </w:p>
    <w:p>
      <w:pPr>
        <w:widowControl/>
        <w:jc w:val="left"/>
        <w:rPr>
          <w:rFonts w:hint="eastAsia" w:ascii="宋体" w:hAnsi="宋体" w:eastAsia="宋体" w:cs="宋体"/>
          <w:color w:val="auto"/>
          <w:sz w:val="24"/>
          <w:highlight w:val="none"/>
        </w:rPr>
      </w:pPr>
    </w:p>
    <w:p>
      <w:pPr>
        <w:spacing w:line="360" w:lineRule="auto"/>
        <w:jc w:val="left"/>
        <w:outlineLvl w:val="2"/>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四</w:t>
      </w:r>
      <w:r>
        <w:rPr>
          <w:rFonts w:hint="eastAsia" w:ascii="宋体" w:hAnsi="宋体" w:eastAsia="宋体" w:cs="宋体"/>
          <w:b/>
          <w:color w:val="auto"/>
          <w:sz w:val="24"/>
          <w:szCs w:val="22"/>
          <w:highlight w:val="none"/>
        </w:rPr>
        <w:t>）服务承诺</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(供应商可自行制作格式)</w:t>
      </w:r>
    </w:p>
    <w:p>
      <w:pPr>
        <w:widowControl/>
        <w:jc w:val="left"/>
        <w:rPr>
          <w:rFonts w:hint="eastAsia" w:ascii="宋体" w:hAnsi="宋体" w:eastAsia="宋体" w:cs="宋体"/>
          <w:bCs/>
          <w:color w:val="auto"/>
          <w:sz w:val="24"/>
          <w:highlight w:val="none"/>
        </w:rPr>
      </w:pPr>
    </w:p>
    <w:p>
      <w:pPr>
        <w:spacing w:line="360" w:lineRule="auto"/>
        <w:jc w:val="left"/>
        <w:outlineLvl w:val="2"/>
        <w:rPr>
          <w:rFonts w:hint="eastAsia" w:ascii="宋体" w:hAnsi="宋体" w:eastAsia="宋体" w:cs="宋体"/>
          <w:b/>
          <w:bCs/>
          <w:color w:val="auto"/>
          <w:sz w:val="28"/>
          <w:highlight w:val="none"/>
        </w:rPr>
      </w:pPr>
      <w:bookmarkStart w:id="101" w:name="_Toc63440924"/>
      <w:bookmarkStart w:id="102" w:name="_Toc19418"/>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五</w:t>
      </w:r>
      <w:r>
        <w:rPr>
          <w:rFonts w:hint="eastAsia" w:ascii="宋体" w:hAnsi="宋体" w:eastAsia="宋体" w:cs="宋体"/>
          <w:b/>
          <w:color w:val="auto"/>
          <w:sz w:val="24"/>
          <w:szCs w:val="22"/>
          <w:highlight w:val="none"/>
        </w:rPr>
        <w:t>）</w:t>
      </w:r>
      <w:r>
        <w:rPr>
          <w:rFonts w:hint="eastAsia" w:ascii="宋体" w:hAnsi="宋体" w:eastAsia="宋体" w:cs="宋体"/>
          <w:b/>
          <w:color w:val="auto"/>
          <w:sz w:val="24"/>
          <w:szCs w:val="22"/>
          <w:highlight w:val="none"/>
          <w:lang w:val="en-US" w:eastAsia="zh-CN"/>
        </w:rPr>
        <w:t>其他</w:t>
      </w:r>
      <w:r>
        <w:rPr>
          <w:rFonts w:hint="eastAsia" w:ascii="宋体" w:hAnsi="宋体" w:eastAsia="宋体" w:cs="宋体"/>
          <w:b/>
          <w:color w:val="auto"/>
          <w:sz w:val="24"/>
          <w:szCs w:val="22"/>
          <w:highlight w:val="none"/>
        </w:rPr>
        <w:t>相关证明</w:t>
      </w:r>
      <w:r>
        <w:rPr>
          <w:rFonts w:hint="eastAsia" w:ascii="宋体" w:hAnsi="宋体" w:eastAsia="宋体" w:cs="宋体"/>
          <w:b/>
          <w:color w:val="auto"/>
          <w:sz w:val="24"/>
          <w:szCs w:val="22"/>
          <w:highlight w:val="none"/>
          <w:lang w:val="en-US" w:eastAsia="zh-CN"/>
        </w:rPr>
        <w:t>材料</w:t>
      </w:r>
      <w:r>
        <w:rPr>
          <w:rFonts w:hint="eastAsia" w:ascii="宋体" w:hAnsi="宋体" w:eastAsia="宋体" w:cs="宋体"/>
          <w:b/>
          <w:bCs/>
          <w:color w:val="auto"/>
          <w:sz w:val="28"/>
          <w:highlight w:val="none"/>
        </w:rPr>
        <w:br w:type="page"/>
      </w:r>
    </w:p>
    <w:p>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第七章  政府采购</w:t>
      </w:r>
      <w:bookmarkEnd w:id="101"/>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102"/>
    </w:p>
    <w:p>
      <w:pPr>
        <w:spacing w:line="360" w:lineRule="auto"/>
        <w:jc w:val="center"/>
        <w:outlineLvl w:val="1"/>
        <w:rPr>
          <w:rFonts w:hint="eastAsia" w:ascii="宋体" w:hAnsi="宋体" w:eastAsia="宋体" w:cs="宋体"/>
          <w:b/>
          <w:bCs/>
          <w:color w:val="auto"/>
          <w:sz w:val="32"/>
          <w:szCs w:val="44"/>
          <w:highlight w:val="none"/>
        </w:rPr>
      </w:pPr>
      <w:bookmarkStart w:id="103" w:name="_Toc8735"/>
      <w:bookmarkStart w:id="104" w:name="_Toc2142"/>
      <w:r>
        <w:rPr>
          <w:rFonts w:hint="eastAsia" w:ascii="宋体" w:hAnsi="宋体" w:eastAsia="宋体" w:cs="宋体"/>
          <w:b/>
          <w:bCs/>
          <w:color w:val="auto"/>
          <w:sz w:val="32"/>
          <w:szCs w:val="44"/>
          <w:highlight w:val="none"/>
        </w:rPr>
        <w:t>询问函范本</w:t>
      </w:r>
      <w:bookmarkEnd w:id="103"/>
      <w:bookmarkEnd w:id="104"/>
    </w:p>
    <w:p>
      <w:pPr>
        <w:adjustRightInd w:val="0"/>
        <w:snapToGrid w:val="0"/>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采购人</w:t>
      </w:r>
      <w:r>
        <w:rPr>
          <w:rFonts w:hint="eastAsia" w:ascii="宋体" w:hAnsi="宋体" w:eastAsia="宋体" w:cs="宋体"/>
          <w:b/>
          <w:bCs/>
          <w:color w:val="auto"/>
          <w:sz w:val="24"/>
          <w:szCs w:val="24"/>
          <w:highlight w:val="none"/>
          <w:u w:val="single"/>
          <w:lang w:val="en-US" w:eastAsia="zh-CN"/>
        </w:rPr>
        <w:t>全称）</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pPr>
        <w:adjustRightInd w:val="0"/>
        <w:snapToGrid w:val="0"/>
        <w:spacing w:line="360" w:lineRule="auto"/>
        <w:ind w:firstLine="480" w:firstLineChars="200"/>
        <w:outlineLvl w:val="1"/>
        <w:rPr>
          <w:rFonts w:hint="eastAsia" w:ascii="宋体" w:hAnsi="宋体" w:eastAsia="宋体" w:cs="宋体"/>
          <w:color w:val="auto"/>
          <w:sz w:val="24"/>
          <w:szCs w:val="24"/>
          <w:highlight w:val="none"/>
        </w:rPr>
      </w:pPr>
      <w:bookmarkStart w:id="105" w:name="_Toc26386"/>
      <w:bookmarkStart w:id="106" w:name="_Toc9092"/>
      <w:r>
        <w:rPr>
          <w:rFonts w:hint="eastAsia" w:ascii="宋体" w:hAnsi="宋体" w:eastAsia="宋体" w:cs="宋体"/>
          <w:color w:val="auto"/>
          <w:sz w:val="24"/>
          <w:szCs w:val="24"/>
          <w:highlight w:val="none"/>
        </w:rPr>
        <w:t>一、(事项一)</w:t>
      </w:r>
      <w:bookmarkEnd w:id="105"/>
      <w:bookmarkEnd w:id="106"/>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pPr>
        <w:adjustRightInd w:val="0"/>
        <w:snapToGrid w:val="0"/>
        <w:spacing w:line="360" w:lineRule="auto"/>
        <w:ind w:firstLine="480" w:firstLineChars="200"/>
        <w:outlineLvl w:val="1"/>
        <w:rPr>
          <w:rFonts w:hint="eastAsia" w:ascii="宋体" w:hAnsi="宋体" w:eastAsia="宋体" w:cs="宋体"/>
          <w:color w:val="auto"/>
          <w:sz w:val="24"/>
          <w:szCs w:val="24"/>
          <w:highlight w:val="none"/>
        </w:rPr>
      </w:pPr>
      <w:bookmarkStart w:id="107" w:name="_Toc9273"/>
      <w:bookmarkStart w:id="108" w:name="_Toc17582"/>
      <w:r>
        <w:rPr>
          <w:rFonts w:hint="eastAsia" w:ascii="宋体" w:hAnsi="宋体" w:eastAsia="宋体" w:cs="宋体"/>
          <w:color w:val="auto"/>
          <w:sz w:val="24"/>
          <w:szCs w:val="24"/>
          <w:highlight w:val="none"/>
        </w:rPr>
        <w:t>二、(事项二)</w:t>
      </w:r>
      <w:bookmarkEnd w:id="107"/>
      <w:bookmarkEnd w:id="108"/>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pPr>
        <w:rPr>
          <w:rFonts w:hint="eastAsia" w:ascii="宋体" w:hAnsi="宋体" w:eastAsia="宋体" w:cs="宋体"/>
          <w:b/>
          <w:color w:val="auto"/>
          <w:sz w:val="52"/>
          <w:highlight w:val="none"/>
        </w:rPr>
      </w:pPr>
      <w:r>
        <w:rPr>
          <w:rFonts w:hint="eastAsia" w:ascii="宋体" w:hAnsi="宋体" w:eastAsia="宋体" w:cs="宋体"/>
          <w:b/>
          <w:bCs/>
          <w:color w:val="auto"/>
          <w:sz w:val="32"/>
          <w:szCs w:val="44"/>
          <w:highlight w:val="none"/>
        </w:rPr>
        <w:br w:type="page"/>
      </w:r>
    </w:p>
    <w:p>
      <w:pPr>
        <w:jc w:val="center"/>
        <w:outlineLvl w:val="1"/>
        <w:rPr>
          <w:rFonts w:hint="eastAsia" w:ascii="宋体" w:hAnsi="宋体" w:eastAsia="宋体" w:cs="宋体"/>
          <w:b/>
          <w:bCs/>
          <w:color w:val="auto"/>
          <w:sz w:val="32"/>
          <w:szCs w:val="44"/>
          <w:highlight w:val="none"/>
        </w:rPr>
      </w:pPr>
      <w:bookmarkStart w:id="109" w:name="_Toc6990"/>
      <w:bookmarkStart w:id="110" w:name="_Toc26673"/>
      <w:r>
        <w:rPr>
          <w:rFonts w:hint="eastAsia" w:ascii="宋体" w:hAnsi="宋体" w:eastAsia="宋体" w:cs="宋体"/>
          <w:b/>
          <w:bCs/>
          <w:color w:val="auto"/>
          <w:sz w:val="32"/>
          <w:szCs w:val="44"/>
          <w:highlight w:val="none"/>
        </w:rPr>
        <w:t>质疑函范本</w:t>
      </w:r>
      <w:bookmarkEnd w:id="109"/>
      <w:bookmarkEnd w:id="110"/>
    </w:p>
    <w:p>
      <w:pPr>
        <w:adjustRightInd w:val="0"/>
        <w:snapToGrid w:val="0"/>
        <w:spacing w:beforeLines="100" w:line="360" w:lineRule="auto"/>
        <w:outlineLvl w:val="1"/>
        <w:rPr>
          <w:rFonts w:hint="eastAsia" w:ascii="宋体" w:hAnsi="宋体" w:eastAsia="宋体" w:cs="宋体"/>
          <w:b/>
          <w:bCs/>
          <w:color w:val="auto"/>
          <w:sz w:val="24"/>
          <w:szCs w:val="24"/>
          <w:highlight w:val="none"/>
        </w:rPr>
      </w:pPr>
      <w:bookmarkStart w:id="111" w:name="_Toc29510"/>
      <w:bookmarkStart w:id="112" w:name="_Toc2994"/>
      <w:r>
        <w:rPr>
          <w:rFonts w:hint="eastAsia" w:ascii="宋体" w:hAnsi="宋体" w:eastAsia="宋体" w:cs="宋体"/>
          <w:b/>
          <w:bCs/>
          <w:color w:val="auto"/>
          <w:sz w:val="24"/>
          <w:szCs w:val="24"/>
          <w:highlight w:val="none"/>
        </w:rPr>
        <w:t>一、质疑供应商基本信息</w:t>
      </w:r>
      <w:bookmarkEnd w:id="111"/>
      <w:bookmarkEnd w:id="112"/>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1"/>
        <w:rPr>
          <w:rFonts w:hint="eastAsia" w:ascii="宋体" w:hAnsi="宋体" w:eastAsia="宋体" w:cs="宋体"/>
          <w:b/>
          <w:bCs/>
          <w:color w:val="auto"/>
          <w:sz w:val="24"/>
          <w:szCs w:val="24"/>
          <w:highlight w:val="none"/>
        </w:rPr>
      </w:pPr>
      <w:bookmarkStart w:id="113" w:name="_Toc31042"/>
      <w:bookmarkStart w:id="114" w:name="_Toc28130"/>
      <w:r>
        <w:rPr>
          <w:rFonts w:hint="eastAsia" w:ascii="宋体" w:hAnsi="宋体" w:eastAsia="宋体" w:cs="宋体"/>
          <w:b/>
          <w:bCs/>
          <w:color w:val="auto"/>
          <w:sz w:val="24"/>
          <w:szCs w:val="24"/>
          <w:highlight w:val="none"/>
        </w:rPr>
        <w:t>二、质疑项目基本情况</w:t>
      </w:r>
      <w:bookmarkEnd w:id="113"/>
      <w:bookmarkEnd w:id="114"/>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获取日期：</w:t>
      </w:r>
      <w:r>
        <w:rPr>
          <w:rFonts w:hint="eastAsia" w:ascii="宋体" w:hAnsi="宋体" w:eastAsia="宋体" w:cs="宋体"/>
          <w:color w:val="auto"/>
          <w:sz w:val="24"/>
          <w:szCs w:val="24"/>
          <w:highlight w:val="none"/>
          <w:u w:val="dotted"/>
        </w:rPr>
        <w:t xml:space="preserve">                                  </w:t>
      </w:r>
    </w:p>
    <w:p>
      <w:pPr>
        <w:adjustRightInd w:val="0"/>
        <w:snapToGrid w:val="0"/>
        <w:spacing w:line="360" w:lineRule="auto"/>
        <w:outlineLvl w:val="1"/>
        <w:rPr>
          <w:rFonts w:hint="eastAsia" w:ascii="宋体" w:hAnsi="宋体" w:eastAsia="宋体" w:cs="宋体"/>
          <w:b/>
          <w:bCs/>
          <w:color w:val="auto"/>
          <w:sz w:val="24"/>
          <w:szCs w:val="24"/>
          <w:highlight w:val="none"/>
        </w:rPr>
      </w:pPr>
      <w:bookmarkStart w:id="115" w:name="_Toc20587"/>
      <w:bookmarkStart w:id="116" w:name="_Toc6486"/>
      <w:r>
        <w:rPr>
          <w:rFonts w:hint="eastAsia" w:ascii="宋体" w:hAnsi="宋体" w:eastAsia="宋体" w:cs="宋体"/>
          <w:b/>
          <w:bCs/>
          <w:color w:val="auto"/>
          <w:sz w:val="24"/>
          <w:szCs w:val="24"/>
          <w:highlight w:val="none"/>
        </w:rPr>
        <w:t>三、质疑事项具体内容</w:t>
      </w:r>
      <w:bookmarkEnd w:id="115"/>
      <w:bookmarkEnd w:id="116"/>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adjustRightInd w:val="0"/>
        <w:snapToGrid w:val="0"/>
        <w:spacing w:line="360" w:lineRule="auto"/>
        <w:outlineLvl w:val="1"/>
        <w:rPr>
          <w:rFonts w:hint="eastAsia" w:ascii="宋体" w:hAnsi="宋体" w:eastAsia="宋体" w:cs="宋体"/>
          <w:b/>
          <w:bCs/>
          <w:color w:val="auto"/>
          <w:sz w:val="24"/>
          <w:szCs w:val="24"/>
          <w:highlight w:val="none"/>
        </w:rPr>
      </w:pPr>
      <w:bookmarkStart w:id="117" w:name="_Toc20470"/>
      <w:bookmarkStart w:id="118" w:name="_Toc32755"/>
      <w:r>
        <w:rPr>
          <w:rFonts w:hint="eastAsia" w:ascii="宋体" w:hAnsi="宋体" w:eastAsia="宋体" w:cs="宋体"/>
          <w:b/>
          <w:bCs/>
          <w:color w:val="auto"/>
          <w:sz w:val="24"/>
          <w:szCs w:val="24"/>
          <w:highlight w:val="none"/>
        </w:rPr>
        <w:t>四、与质疑事项相关的质疑请求</w:t>
      </w:r>
      <w:bookmarkEnd w:id="117"/>
      <w:bookmarkEnd w:id="118"/>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outlineLvl w:val="0"/>
        <w:rPr>
          <w:rFonts w:hint="eastAsia" w:ascii="宋体" w:hAnsi="宋体" w:eastAsia="宋体" w:cs="宋体"/>
          <w:b/>
          <w:color w:val="auto"/>
          <w:sz w:val="28"/>
          <w:szCs w:val="32"/>
          <w:highlight w:val="none"/>
        </w:rPr>
      </w:pPr>
      <w:bookmarkStart w:id="119" w:name="_Toc8368"/>
      <w:bookmarkStart w:id="120" w:name="_Toc21667"/>
      <w:r>
        <w:rPr>
          <w:rFonts w:hint="eastAsia" w:ascii="宋体" w:hAnsi="宋体" w:eastAsia="宋体" w:cs="宋体"/>
          <w:b/>
          <w:color w:val="auto"/>
          <w:sz w:val="28"/>
          <w:szCs w:val="32"/>
          <w:highlight w:val="none"/>
        </w:rPr>
        <w:t>质疑函制作说明：</w:t>
      </w:r>
      <w:bookmarkEnd w:id="119"/>
      <w:bookmarkEnd w:id="120"/>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21" w:type="default"/>
      <w:footerReference r:id="rId2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57</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cAboDVAAAACAEAAA8AAAAAAAAAAQAgAAAAIgAAAGRycy9kb3ducmV2&#10;LnhtbFBLAQIUABQAAAAIAIdO4kCYx6cMOAIAAG8EAAAOAAAAAAAAAAEAIAAAACQBAABkcnMvZTJv&#10;RG9jLnhtbFBLBQYAAAAABgAGAFkBAADOBQAAAAA=&#10;">
              <v:fill on="f" focussize="0,0"/>
              <v:stroke on="f" weight="0.5pt"/>
              <v:imagedata o:title=""/>
              <o:lock v:ext="edit" aspectratio="f"/>
              <v:textbox inset="0mm,0mm,0mm,0mm" style="mso-fit-shape-to-text:t;">
                <w:txbxContent>
                  <w:p>
                    <w:pPr>
                      <w:pStyle w:val="13"/>
                      <w:rPr>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57</w:t>
                    </w:r>
                    <w:r>
                      <w:rPr>
                        <w:rFonts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621"/>
      <w:rPr>
        <w:rFonts w:ascii="仿宋" w:hAnsi="仿宋" w:eastAsia="仿宋" w:cs="仿宋"/>
        <w:sz w:val="18"/>
        <w:szCs w:val="18"/>
      </w:rPr>
    </w:pPr>
    <w:r>
      <w:rPr>
        <w:rFonts w:ascii="仿宋" w:hAnsi="仿宋" w:eastAsia="仿宋" w:cs="仿宋"/>
        <w:spacing w:val="-5"/>
        <w:sz w:val="18"/>
        <w:szCs w:val="18"/>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110"/>
      <w:rPr>
        <w:rFonts w:ascii="仿宋" w:hAnsi="仿宋" w:eastAsia="仿宋" w:cs="仿宋"/>
        <w:sz w:val="18"/>
        <w:szCs w:val="18"/>
      </w:rPr>
    </w:pPr>
    <w:r>
      <w:rPr>
        <w:rFonts w:ascii="仿宋" w:hAnsi="仿宋" w:eastAsia="仿宋" w:cs="仿宋"/>
        <w:spacing w:val="-3"/>
        <w:sz w:val="18"/>
        <w:szCs w:val="18"/>
      </w:rPr>
      <w:t>39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auto"/>
      <w:ind w:left="4526"/>
      <w:rPr>
        <w:rFonts w:ascii="仿宋" w:hAnsi="仿宋" w:eastAsia="仿宋" w:cs="仿宋"/>
        <w:sz w:val="18"/>
        <w:szCs w:val="18"/>
      </w:rPr>
    </w:pPr>
    <w:r>
      <w:rPr>
        <w:rFonts w:ascii="仿宋" w:hAnsi="仿宋" w:eastAsia="仿宋" w:cs="仿宋"/>
        <w:spacing w:val="-2"/>
        <w:sz w:val="18"/>
        <w:szCs w:val="18"/>
      </w:rPr>
      <w:t>40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6" name="任意多边形 6"/>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028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63XctcAAAAMAQAADwAAAAAA&#10;AAABACAAAAAiAAAAZHJzL2Rvd25yZXYueG1sUEsBAhQAFAAAAAgAh07iQF5BD4wUAgAAfAQAAA4A&#10;AAAAAAAAAQAgAAAAJgEAAGRycy9lMm9Eb2MueG1sUEsFBgAAAAAGAAYAWQEAAKwFAAAAAA==&#10;" path="m0,15l8380,15,8380,0,0,0,0,15xe">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551"/>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1312;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ddy1wAAAAwBAAAPAAAAAAAA&#10;AAEAIAAAACIAAABkcnMvZG93bnJldi54bWxQSwECFAAUAAAACACHTuJA5hmwAxMCAAB8BAAADgAA&#10;AAAAAAABACAAAAAmAQAAZHJzL2Uyb0RvYy54bWxQSwUGAAAAAAYABgBZAQAAqwUAAAAA&#10;" path="m0,15l8380,15,8380,0,0,0,0,15xe">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2336;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13LXAAAADAEAAA8AAAAAAAAA&#10;AQAgAAAAIgAAAGRycy9kb3ducmV2LnhtbFBLAQIUABQAAAAIAIdO4kCUY4BnEgIAAHwEAAAOAAAA&#10;AAAAAAEAIAAAACYBAABkcnMvZTJvRG9jLnhtbFBLBQYAAAAABgAGAFkBAACqBQAAAAA=&#10;" path="m0,15l8380,15,8380,0,0,0,0,15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028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ddy1wAAAAwBAAAPAAAAAAAA&#10;AAEAIAAAACIAAABkcnMvZG93bnJldi54bWxQSwECFAAUAAAACACHTuJALDs/6BMCAAB8BAAADgAA&#10;AAAAAAABACAAAAAmAQAAZHJzL2Uyb0RvYy54bWxQSwUGAAAAAAYABgBZAQAAqwUAAAAA&#10;" path="m0,15l8380,15,8380,0,0,0,0,15xe">
              <v:fill on="t" focussize="0,0"/>
              <v:stroke on="f"/>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3360"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3360;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63XctcAAAAMAQAADwAAAAAA&#10;AAABACAAAAAiAAAAZHJzL2Rvd25yZXYueG1sUEsBAhQAFAAAAAgAh07iQHCX4K8UAgAAfAQAAA4A&#10;AAAAAAAAAQAgAAAAJgEAAGRycy9lMm9Eb2MueG1sUEsFBgAAAAAGAAYAWQEAAKwFAAAAAA==&#10;" path="m0,15l8380,15,8380,0,0,0,0,15xe">
              <v:fill on="t" focussize="0,0"/>
              <v:stroke on="f"/>
              <v:imagedata o:title=""/>
              <o:lock v:ext="edit" aspectratio="f"/>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4384"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4384;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ddy1wAAAAwBAAAPAAAAAAAA&#10;AAEAIAAAACIAAABkcnMvZG93bnJldi54bWxQSwECFAAUAAAACACHTuJAjUQ6bRMCAAB+BAAADgAA&#10;AAAAAAABACAAAAAmAQAAZHJzL2Uyb0RvYy54bWxQSwUGAAAAAAYABgBZAQAAqwUAAAAA&#10;" path="m0,15l8380,15,8380,0,0,0,0,15xe">
              <v:fill on="t" focussize="0,0"/>
              <v:stroke on="f"/>
              <v:imagedata o:title=""/>
              <o:lock v:ext="edit" aspectratio="f"/>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1"/>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028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63XctcAAAAMAQAADwAAAAAA&#10;AAABACAAAAAiAAAAZHJzL2Rvd25yZXYueG1sUEsBAhQAFAAAAAgAh07iQKXUj6MUAgAAfAQAAA4A&#10;AAAAAAAAAQAgAAAAJgEAAGRycy9lMm9Eb2MueG1sUEsFBgAAAAAGAAYAWQEAAKwFAAAAAA==&#10;" path="m0,15l8380,15,8380,0,0,0,0,15xe">
              <v:fill on="t" focussize="0,0"/>
              <v:stroke on="f"/>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48" w:line="219" w:lineRule="auto"/>
      <w:ind w:left="461"/>
      <w:rPr>
        <w:sz w:val="18"/>
        <w:szCs w:val="18"/>
      </w:rPr>
    </w:pPr>
    <w:r>
      <mc:AlternateContent>
        <mc:Choice Requires="wps">
          <w:drawing>
            <wp:anchor distT="0" distB="0" distL="114300" distR="114300" simplePos="0" relativeHeight="251665408" behindDoc="0" locked="0" layoutInCell="0" allowOverlap="1">
              <wp:simplePos x="0" y="0"/>
              <wp:positionH relativeFrom="page">
                <wp:posOffset>1125220</wp:posOffset>
              </wp:positionH>
              <wp:positionV relativeFrom="page">
                <wp:posOffset>705485</wp:posOffset>
              </wp:positionV>
              <wp:extent cx="5321935"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321935" cy="9525"/>
                      </a:xfrm>
                      <a:custGeom>
                        <a:avLst/>
                        <a:gdLst/>
                        <a:ahLst/>
                        <a:cxnLst/>
                        <a:pathLst>
                          <a:path w="8380" h="15">
                            <a:moveTo>
                              <a:pt x="0" y="15"/>
                            </a:moveTo>
                            <a:lnTo>
                              <a:pt x="8380" y="15"/>
                            </a:lnTo>
                            <a:lnTo>
                              <a:pt x="8380" y="0"/>
                            </a:lnTo>
                            <a:lnTo>
                              <a:pt x="0" y="0"/>
                            </a:lnTo>
                            <a:lnTo>
                              <a:pt x="0" y="15"/>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88.6pt;margin-top:55.55pt;height:0.75pt;width:419.05pt;mso-position-horizontal-relative:page;mso-position-vertical-relative:page;z-index:251665408;mso-width-relative:page;mso-height-relative:page;" fillcolor="#000000" filled="t" stroked="f" coordsize="8380,15" o:allowincell="f" o:gfxdata="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13LXAAAADAEAAA8AAAAAAAAA&#10;AQAgAAAAIgAAAGRycy9kb3ducmV2LnhtbFBLAQIUABQAAAAIAIdO4kCLAmCAEgIAAHwEAAAOAAAA&#10;AAAAAAEAIAAAACYBAABkcnMvZTJvRG9jLnhtbFBLBQYAAAAABgAGAFkBAACqBQAAAAA=&#10;" path="m0,15l8380,15,8380,0,0,0,0,15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C62B4"/>
    <w:multiLevelType w:val="singleLevel"/>
    <w:tmpl w:val="2C0C62B4"/>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jBiMzYyODg2NWNhMDgxNjBmODUxNDk1NTI2MTk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26C"/>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16234"/>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4F3C"/>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1795E"/>
    <w:rsid w:val="00422224"/>
    <w:rsid w:val="00426F05"/>
    <w:rsid w:val="004328E1"/>
    <w:rsid w:val="004425AE"/>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0A5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274A"/>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56A1B"/>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470E0"/>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3CE"/>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561FF"/>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5679D0"/>
    <w:rsid w:val="01722E9F"/>
    <w:rsid w:val="01915CC2"/>
    <w:rsid w:val="02EB0203"/>
    <w:rsid w:val="042E253E"/>
    <w:rsid w:val="05A5305F"/>
    <w:rsid w:val="064D6330"/>
    <w:rsid w:val="06AE129F"/>
    <w:rsid w:val="072D20A4"/>
    <w:rsid w:val="073B420D"/>
    <w:rsid w:val="075D5C47"/>
    <w:rsid w:val="08123E00"/>
    <w:rsid w:val="084C1015"/>
    <w:rsid w:val="0969782E"/>
    <w:rsid w:val="09A909AA"/>
    <w:rsid w:val="09CA1A9B"/>
    <w:rsid w:val="0A3D35AB"/>
    <w:rsid w:val="0A542106"/>
    <w:rsid w:val="0A6C4667"/>
    <w:rsid w:val="0BBE711B"/>
    <w:rsid w:val="0BD47173"/>
    <w:rsid w:val="0C1B47F2"/>
    <w:rsid w:val="0C4264AA"/>
    <w:rsid w:val="0C6157E5"/>
    <w:rsid w:val="0CA27F6D"/>
    <w:rsid w:val="0DB63633"/>
    <w:rsid w:val="0DE545B5"/>
    <w:rsid w:val="0E4C4AFC"/>
    <w:rsid w:val="0FAB0EE6"/>
    <w:rsid w:val="100611FA"/>
    <w:rsid w:val="10276335"/>
    <w:rsid w:val="10607C4F"/>
    <w:rsid w:val="106E6418"/>
    <w:rsid w:val="10A5195A"/>
    <w:rsid w:val="111B209C"/>
    <w:rsid w:val="112A22DF"/>
    <w:rsid w:val="11323C4E"/>
    <w:rsid w:val="12443599"/>
    <w:rsid w:val="12A04F4F"/>
    <w:rsid w:val="12D71D5F"/>
    <w:rsid w:val="12E17ECB"/>
    <w:rsid w:val="134924F6"/>
    <w:rsid w:val="14E44445"/>
    <w:rsid w:val="151B7FB7"/>
    <w:rsid w:val="167B6427"/>
    <w:rsid w:val="16B27D38"/>
    <w:rsid w:val="16D64319"/>
    <w:rsid w:val="17051824"/>
    <w:rsid w:val="17324FA7"/>
    <w:rsid w:val="1735730E"/>
    <w:rsid w:val="18F558C8"/>
    <w:rsid w:val="1930691F"/>
    <w:rsid w:val="1937705B"/>
    <w:rsid w:val="194B4765"/>
    <w:rsid w:val="194D5775"/>
    <w:rsid w:val="199450E1"/>
    <w:rsid w:val="1A6528FE"/>
    <w:rsid w:val="1A835004"/>
    <w:rsid w:val="1B3C333B"/>
    <w:rsid w:val="1B911304"/>
    <w:rsid w:val="1BA61F6F"/>
    <w:rsid w:val="1C63029E"/>
    <w:rsid w:val="1C6B432E"/>
    <w:rsid w:val="1C715A71"/>
    <w:rsid w:val="1C7847DE"/>
    <w:rsid w:val="1C876837"/>
    <w:rsid w:val="1C906C6D"/>
    <w:rsid w:val="1C961425"/>
    <w:rsid w:val="1CC921E7"/>
    <w:rsid w:val="1D1C4205"/>
    <w:rsid w:val="1D3A0A6D"/>
    <w:rsid w:val="1D444EB6"/>
    <w:rsid w:val="1DA840EB"/>
    <w:rsid w:val="1DE8257B"/>
    <w:rsid w:val="1DEB19E6"/>
    <w:rsid w:val="1E312EFF"/>
    <w:rsid w:val="1EA91CC9"/>
    <w:rsid w:val="1F025374"/>
    <w:rsid w:val="1F552C1D"/>
    <w:rsid w:val="200F54C2"/>
    <w:rsid w:val="20C16461"/>
    <w:rsid w:val="20DB1AFE"/>
    <w:rsid w:val="20EA3E41"/>
    <w:rsid w:val="20FF5536"/>
    <w:rsid w:val="222945FC"/>
    <w:rsid w:val="226F2197"/>
    <w:rsid w:val="23146520"/>
    <w:rsid w:val="233B0CBB"/>
    <w:rsid w:val="23585502"/>
    <w:rsid w:val="23596C26"/>
    <w:rsid w:val="24577437"/>
    <w:rsid w:val="24591BD1"/>
    <w:rsid w:val="24AC0FE0"/>
    <w:rsid w:val="26022290"/>
    <w:rsid w:val="262D78EB"/>
    <w:rsid w:val="26993D37"/>
    <w:rsid w:val="27CA60F4"/>
    <w:rsid w:val="27E85AF1"/>
    <w:rsid w:val="27F460A8"/>
    <w:rsid w:val="282760B8"/>
    <w:rsid w:val="28331A98"/>
    <w:rsid w:val="28C929C1"/>
    <w:rsid w:val="295220BC"/>
    <w:rsid w:val="29DA6B0B"/>
    <w:rsid w:val="2A093B18"/>
    <w:rsid w:val="2A6308E4"/>
    <w:rsid w:val="2A66694D"/>
    <w:rsid w:val="2A8D7B4E"/>
    <w:rsid w:val="2AA14F9E"/>
    <w:rsid w:val="2ABD245A"/>
    <w:rsid w:val="2B1E0CAF"/>
    <w:rsid w:val="2B412386"/>
    <w:rsid w:val="2BB34FD2"/>
    <w:rsid w:val="2BE12DEA"/>
    <w:rsid w:val="2C7721A8"/>
    <w:rsid w:val="2CEA687B"/>
    <w:rsid w:val="2D0D2E82"/>
    <w:rsid w:val="2D1633EB"/>
    <w:rsid w:val="2DBD655D"/>
    <w:rsid w:val="2DE16C1F"/>
    <w:rsid w:val="2E1B2EA1"/>
    <w:rsid w:val="2E63511A"/>
    <w:rsid w:val="2EB35320"/>
    <w:rsid w:val="2EED7A09"/>
    <w:rsid w:val="2F111D48"/>
    <w:rsid w:val="2F113259"/>
    <w:rsid w:val="2F317872"/>
    <w:rsid w:val="2F3F0C54"/>
    <w:rsid w:val="2F4615DA"/>
    <w:rsid w:val="2FBE7815"/>
    <w:rsid w:val="30666E84"/>
    <w:rsid w:val="30ED2B9B"/>
    <w:rsid w:val="31197749"/>
    <w:rsid w:val="311E37B6"/>
    <w:rsid w:val="3145786C"/>
    <w:rsid w:val="314D5E4A"/>
    <w:rsid w:val="32691053"/>
    <w:rsid w:val="32A538A5"/>
    <w:rsid w:val="330E360D"/>
    <w:rsid w:val="33727FFC"/>
    <w:rsid w:val="33781E1C"/>
    <w:rsid w:val="33B37D2E"/>
    <w:rsid w:val="341B4A8C"/>
    <w:rsid w:val="352620DC"/>
    <w:rsid w:val="35E5310F"/>
    <w:rsid w:val="3661430F"/>
    <w:rsid w:val="369D587E"/>
    <w:rsid w:val="36CF1D5D"/>
    <w:rsid w:val="36EC3A0F"/>
    <w:rsid w:val="370F3BF6"/>
    <w:rsid w:val="37CE7537"/>
    <w:rsid w:val="384B0C09"/>
    <w:rsid w:val="387E07B8"/>
    <w:rsid w:val="38AD0855"/>
    <w:rsid w:val="39293004"/>
    <w:rsid w:val="392E2F1D"/>
    <w:rsid w:val="39625141"/>
    <w:rsid w:val="39882115"/>
    <w:rsid w:val="39904B26"/>
    <w:rsid w:val="39E10D60"/>
    <w:rsid w:val="3AA20FB4"/>
    <w:rsid w:val="3BFC5E74"/>
    <w:rsid w:val="3C0059BB"/>
    <w:rsid w:val="3C5F3E33"/>
    <w:rsid w:val="3CB925E5"/>
    <w:rsid w:val="3D33180A"/>
    <w:rsid w:val="3D3B749E"/>
    <w:rsid w:val="3DCC459A"/>
    <w:rsid w:val="3E4B7D0B"/>
    <w:rsid w:val="3E4F11A1"/>
    <w:rsid w:val="3EA20311"/>
    <w:rsid w:val="3EAB2304"/>
    <w:rsid w:val="3F5E4365"/>
    <w:rsid w:val="3FBB48C6"/>
    <w:rsid w:val="415470E2"/>
    <w:rsid w:val="41876176"/>
    <w:rsid w:val="41AF5742"/>
    <w:rsid w:val="41BB759E"/>
    <w:rsid w:val="427F5BBE"/>
    <w:rsid w:val="42B740A7"/>
    <w:rsid w:val="4353477A"/>
    <w:rsid w:val="43783307"/>
    <w:rsid w:val="43C05511"/>
    <w:rsid w:val="446B6021"/>
    <w:rsid w:val="44713BD5"/>
    <w:rsid w:val="448A0385"/>
    <w:rsid w:val="44A45929"/>
    <w:rsid w:val="45FC7108"/>
    <w:rsid w:val="46676636"/>
    <w:rsid w:val="473A7BED"/>
    <w:rsid w:val="47863A67"/>
    <w:rsid w:val="478F71C4"/>
    <w:rsid w:val="480406D0"/>
    <w:rsid w:val="4821786A"/>
    <w:rsid w:val="4825146D"/>
    <w:rsid w:val="48AB5C35"/>
    <w:rsid w:val="49B21896"/>
    <w:rsid w:val="4A6169D0"/>
    <w:rsid w:val="4AB47F4F"/>
    <w:rsid w:val="4AFE32C7"/>
    <w:rsid w:val="4B014864"/>
    <w:rsid w:val="4B954E7C"/>
    <w:rsid w:val="4C7C0BD8"/>
    <w:rsid w:val="4D926D2D"/>
    <w:rsid w:val="4E00467F"/>
    <w:rsid w:val="4E6B046C"/>
    <w:rsid w:val="4E707289"/>
    <w:rsid w:val="4E9E4717"/>
    <w:rsid w:val="4EA529C9"/>
    <w:rsid w:val="4EEA3D40"/>
    <w:rsid w:val="4EF31F2E"/>
    <w:rsid w:val="4F00728A"/>
    <w:rsid w:val="4F3F6AB1"/>
    <w:rsid w:val="4F5D071B"/>
    <w:rsid w:val="4F7D2DDF"/>
    <w:rsid w:val="4F9B688F"/>
    <w:rsid w:val="50454464"/>
    <w:rsid w:val="51F87E8B"/>
    <w:rsid w:val="54087D99"/>
    <w:rsid w:val="546A1242"/>
    <w:rsid w:val="54A72003"/>
    <w:rsid w:val="54BF230B"/>
    <w:rsid w:val="54D538DD"/>
    <w:rsid w:val="557160B3"/>
    <w:rsid w:val="55AC288F"/>
    <w:rsid w:val="55B478FA"/>
    <w:rsid w:val="56023921"/>
    <w:rsid w:val="56876E58"/>
    <w:rsid w:val="570A1F63"/>
    <w:rsid w:val="57183488"/>
    <w:rsid w:val="57292F6C"/>
    <w:rsid w:val="57D76E90"/>
    <w:rsid w:val="5809250B"/>
    <w:rsid w:val="593D44A4"/>
    <w:rsid w:val="5A0C1B4F"/>
    <w:rsid w:val="5A1B2D58"/>
    <w:rsid w:val="5A3617D9"/>
    <w:rsid w:val="5A506C27"/>
    <w:rsid w:val="5A7F6B6C"/>
    <w:rsid w:val="5A805B71"/>
    <w:rsid w:val="5AFB613D"/>
    <w:rsid w:val="5B884B20"/>
    <w:rsid w:val="5BC0556E"/>
    <w:rsid w:val="5BC81C40"/>
    <w:rsid w:val="5C252A7A"/>
    <w:rsid w:val="5CA87FBB"/>
    <w:rsid w:val="5D0A2621"/>
    <w:rsid w:val="5DA327CA"/>
    <w:rsid w:val="5E6D6654"/>
    <w:rsid w:val="5FD74633"/>
    <w:rsid w:val="5FF857FE"/>
    <w:rsid w:val="60E412C0"/>
    <w:rsid w:val="61047A23"/>
    <w:rsid w:val="61E323AE"/>
    <w:rsid w:val="623331AC"/>
    <w:rsid w:val="625772C4"/>
    <w:rsid w:val="62BB6808"/>
    <w:rsid w:val="634C7BE7"/>
    <w:rsid w:val="636F3034"/>
    <w:rsid w:val="650516A8"/>
    <w:rsid w:val="65330581"/>
    <w:rsid w:val="65436640"/>
    <w:rsid w:val="65696C4A"/>
    <w:rsid w:val="65830E72"/>
    <w:rsid w:val="65D33E68"/>
    <w:rsid w:val="65E41BD1"/>
    <w:rsid w:val="66E81280"/>
    <w:rsid w:val="678919CD"/>
    <w:rsid w:val="67C13D86"/>
    <w:rsid w:val="68210804"/>
    <w:rsid w:val="684A681A"/>
    <w:rsid w:val="69110DD3"/>
    <w:rsid w:val="691D526F"/>
    <w:rsid w:val="69540ABC"/>
    <w:rsid w:val="69676D3F"/>
    <w:rsid w:val="6A2E3597"/>
    <w:rsid w:val="6A6D038E"/>
    <w:rsid w:val="6B8F22D3"/>
    <w:rsid w:val="6C3F4006"/>
    <w:rsid w:val="6C8D150C"/>
    <w:rsid w:val="6CE35249"/>
    <w:rsid w:val="6D297900"/>
    <w:rsid w:val="6D6005AC"/>
    <w:rsid w:val="6DF42BCE"/>
    <w:rsid w:val="6E39711A"/>
    <w:rsid w:val="6E997D6C"/>
    <w:rsid w:val="6ED72EF3"/>
    <w:rsid w:val="6EF616F6"/>
    <w:rsid w:val="6F4048C9"/>
    <w:rsid w:val="6F5D575B"/>
    <w:rsid w:val="703B0F88"/>
    <w:rsid w:val="70F16661"/>
    <w:rsid w:val="71467526"/>
    <w:rsid w:val="72F54D3F"/>
    <w:rsid w:val="741216DE"/>
    <w:rsid w:val="74CA4688"/>
    <w:rsid w:val="74FC2405"/>
    <w:rsid w:val="75175B20"/>
    <w:rsid w:val="754058DD"/>
    <w:rsid w:val="76634D94"/>
    <w:rsid w:val="771A04F8"/>
    <w:rsid w:val="77386996"/>
    <w:rsid w:val="77692317"/>
    <w:rsid w:val="77EB2180"/>
    <w:rsid w:val="77FA17BD"/>
    <w:rsid w:val="784A4B73"/>
    <w:rsid w:val="786924FD"/>
    <w:rsid w:val="79826048"/>
    <w:rsid w:val="799B26EC"/>
    <w:rsid w:val="79E00959"/>
    <w:rsid w:val="7A146AD1"/>
    <w:rsid w:val="7A5B3FA8"/>
    <w:rsid w:val="7B7B3A63"/>
    <w:rsid w:val="7BA174E1"/>
    <w:rsid w:val="7BC04FC3"/>
    <w:rsid w:val="7C1105A0"/>
    <w:rsid w:val="7C2B034C"/>
    <w:rsid w:val="7C9E6B26"/>
    <w:rsid w:val="7CA72746"/>
    <w:rsid w:val="7CCF0A8E"/>
    <w:rsid w:val="7D87580C"/>
    <w:rsid w:val="7DC33C3F"/>
    <w:rsid w:val="7E1145E2"/>
    <w:rsid w:val="7E332E8F"/>
    <w:rsid w:val="7EA81A90"/>
    <w:rsid w:val="7F2B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9"/>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6"/>
    <w:qFormat/>
    <w:uiPriority w:val="0"/>
    <w:pPr>
      <w:jc w:val="left"/>
    </w:pPr>
    <w:rPr>
      <w:rFonts w:ascii="Arial" w:hAnsi="Arial" w:eastAsia="黑体" w:cs="Arial"/>
    </w:rPr>
  </w:style>
  <w:style w:type="paragraph" w:styleId="8">
    <w:name w:val="Body Text"/>
    <w:basedOn w:val="1"/>
    <w:link w:val="65"/>
    <w:qFormat/>
    <w:uiPriority w:val="0"/>
    <w:pPr>
      <w:spacing w:after="120"/>
    </w:pPr>
    <w:rPr>
      <w:rFonts w:ascii="@微软简标宋" w:hAnsi="@微软简标宋" w:eastAsia="@微软简标宋" w:cs="@微软简标宋"/>
      <w:szCs w:val="24"/>
      <w:lang w:val="zh-CN"/>
    </w:rPr>
  </w:style>
  <w:style w:type="paragraph" w:styleId="9">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0">
    <w:name w:val="Plain Text"/>
    <w:basedOn w:val="1"/>
    <w:next w:val="1"/>
    <w:link w:val="45"/>
    <w:qFormat/>
    <w:uiPriority w:val="99"/>
    <w:rPr>
      <w:rFonts w:ascii="宋体" w:hAnsi="Courier New" w:eastAsiaTheme="minorEastAsia" w:cstheme="minorBidi"/>
      <w:szCs w:val="22"/>
    </w:rPr>
  </w:style>
  <w:style w:type="paragraph" w:styleId="11">
    <w:name w:val="Date"/>
    <w:basedOn w:val="1"/>
    <w:next w:val="1"/>
    <w:link w:val="52"/>
    <w:qFormat/>
    <w:uiPriority w:val="0"/>
    <w:rPr>
      <w:rFonts w:ascii="Arial" w:hAnsi="Arial" w:eastAsia="宋体" w:cs="Arial"/>
      <w:b/>
      <w:sz w:val="28"/>
    </w:rPr>
  </w:style>
  <w:style w:type="paragraph" w:styleId="12">
    <w:name w:val="Balloon Text"/>
    <w:basedOn w:val="1"/>
    <w:link w:val="39"/>
    <w:semiHidden/>
    <w:unhideWhenUsed/>
    <w:qFormat/>
    <w:uiPriority w:val="99"/>
    <w:rPr>
      <w:sz w:val="18"/>
      <w:szCs w:val="18"/>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7">
    <w:name w:val="Body Text 2"/>
    <w:basedOn w:val="1"/>
    <w:qFormat/>
    <w:uiPriority w:val="0"/>
    <w:rPr>
      <w:rFonts w:ascii="仿宋_GB2312" w:hAnsi="Times New Roman" w:eastAsia="仿宋_GB2312" w:cs="Times New Roman"/>
      <w:b/>
      <w:sz w:val="24"/>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69"/>
    <w:semiHidden/>
    <w:unhideWhenUsed/>
    <w:qFormat/>
    <w:uiPriority w:val="99"/>
    <w:rPr>
      <w:rFonts w:ascii="@仿宋_GB2312" w:hAnsi="@仿宋_GB2312" w:eastAsia="@仿宋_GB2312" w:cs="@仿宋_GB2312"/>
      <w:b/>
      <w:bCs/>
    </w:rPr>
  </w:style>
  <w:style w:type="paragraph" w:styleId="21">
    <w:name w:val="Body Text First Indent"/>
    <w:basedOn w:val="8"/>
    <w:unhideWhenUsed/>
    <w:qFormat/>
    <w:uiPriority w:val="99"/>
    <w:pPr>
      <w:ind w:firstLine="420" w:firstLineChars="100"/>
    </w:p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FollowedHyperlink"/>
    <w:basedOn w:val="24"/>
    <w:semiHidden/>
    <w:unhideWhenUsed/>
    <w:qFormat/>
    <w:uiPriority w:val="99"/>
    <w:rPr>
      <w:color w:val="800080"/>
      <w:u w:val="none"/>
    </w:rPr>
  </w:style>
  <w:style w:type="character" w:styleId="27">
    <w:name w:val="Emphasis"/>
    <w:basedOn w:val="24"/>
    <w:qFormat/>
    <w:uiPriority w:val="20"/>
    <w:rPr>
      <w:b/>
      <w:bCs/>
    </w:rPr>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semiHidden/>
    <w:unhideWhenUsed/>
    <w:qFormat/>
    <w:uiPriority w:val="99"/>
    <w:rPr>
      <w:rFonts w:ascii="monospace" w:hAnsi="monospace" w:eastAsia="monospace" w:cs="monospace"/>
      <w:sz w:val="20"/>
    </w:rPr>
  </w:style>
  <w:style w:type="character" w:styleId="34">
    <w:name w:val="annotation reference"/>
    <w:basedOn w:val="24"/>
    <w:semiHidden/>
    <w:unhideWhenUsed/>
    <w:qFormat/>
    <w:uiPriority w:val="99"/>
    <w:rPr>
      <w:sz w:val="21"/>
      <w:szCs w:val="21"/>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hint="default" w:ascii="monospace" w:hAnsi="monospace" w:eastAsia="monospace" w:cs="monospace"/>
      <w:sz w:val="20"/>
    </w:rPr>
  </w:style>
  <w:style w:type="character" w:styleId="37">
    <w:name w:val="HTML Sample"/>
    <w:basedOn w:val="24"/>
    <w:semiHidden/>
    <w:unhideWhenUsed/>
    <w:qFormat/>
    <w:uiPriority w:val="99"/>
    <w:rPr>
      <w:rFonts w:hint="default" w:ascii="monospace" w:hAnsi="monospace" w:eastAsia="monospace" w:cs="monospace"/>
    </w:rPr>
  </w:style>
  <w:style w:type="paragraph" w:customStyle="1" w:styleId="38">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39">
    <w:name w:val="批注框文本 Char"/>
    <w:basedOn w:val="24"/>
    <w:link w:val="12"/>
    <w:semiHidden/>
    <w:qFormat/>
    <w:uiPriority w:val="99"/>
    <w:rPr>
      <w:rFonts w:ascii="@仿宋_GB2312" w:hAnsi="@仿宋_GB2312" w:eastAsia="@仿宋_GB2312" w:cs="@仿宋_GB2312"/>
      <w:sz w:val="18"/>
      <w:szCs w:val="18"/>
    </w:rPr>
  </w:style>
  <w:style w:type="paragraph" w:customStyle="1" w:styleId="40">
    <w:name w:val="正文（缩进）"/>
    <w:basedOn w:val="1"/>
    <w:qFormat/>
    <w:uiPriority w:val="0"/>
    <w:pPr>
      <w:widowControl/>
      <w:spacing w:before="156" w:after="156"/>
      <w:ind w:firstLine="480" w:firstLineChars="200"/>
      <w:jc w:val="left"/>
    </w:pPr>
    <w:rPr>
      <w:kern w:val="0"/>
      <w:sz w:val="24"/>
      <w:szCs w:val="24"/>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paragraph" w:customStyle="1" w:styleId="42">
    <w:name w:val="D&amp;L"/>
    <w:basedOn w:val="14"/>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3">
    <w:name w:val="页眉 Char"/>
    <w:basedOn w:val="24"/>
    <w:link w:val="14"/>
    <w:qFormat/>
    <w:uiPriority w:val="0"/>
    <w:rPr>
      <w:rFonts w:ascii="@仿宋_GB2312" w:hAnsi="@仿宋_GB2312" w:eastAsia="@仿宋_GB2312" w:cs="@仿宋_GB2312"/>
      <w:sz w:val="18"/>
      <w:szCs w:val="18"/>
    </w:rPr>
  </w:style>
  <w:style w:type="character" w:customStyle="1" w:styleId="44">
    <w:name w:val="页脚 Char"/>
    <w:basedOn w:val="24"/>
    <w:link w:val="13"/>
    <w:qFormat/>
    <w:uiPriority w:val="99"/>
    <w:rPr>
      <w:rFonts w:ascii="@仿宋_GB2312" w:hAnsi="@仿宋_GB2312" w:eastAsia="@仿宋_GB2312" w:cs="@仿宋_GB2312"/>
      <w:sz w:val="18"/>
      <w:szCs w:val="18"/>
    </w:rPr>
  </w:style>
  <w:style w:type="character" w:customStyle="1" w:styleId="45">
    <w:name w:val="纯文本 Char"/>
    <w:link w:val="10"/>
    <w:qFormat/>
    <w:uiPriority w:val="0"/>
    <w:rPr>
      <w:rFonts w:ascii="宋体" w:hAnsi="Courier New"/>
    </w:rPr>
  </w:style>
  <w:style w:type="character" w:customStyle="1" w:styleId="46">
    <w:name w:val="纯文本 字符1"/>
    <w:basedOn w:val="24"/>
    <w:semiHidden/>
    <w:qFormat/>
    <w:uiPriority w:val="99"/>
    <w:rPr>
      <w:rFonts w:hAnsi="Courier New" w:cs="Courier New" w:asciiTheme="minorEastAsia"/>
      <w:szCs w:val="20"/>
    </w:rPr>
  </w:style>
  <w:style w:type="character" w:customStyle="1" w:styleId="47">
    <w:name w:val="未处理的提及1"/>
    <w:basedOn w:val="24"/>
    <w:semiHidden/>
    <w:unhideWhenUsed/>
    <w:qFormat/>
    <w:uiPriority w:val="99"/>
    <w:rPr>
      <w:color w:val="605E5C"/>
      <w:shd w:val="clear" w:color="auto" w:fill="E1DFDD"/>
    </w:rPr>
  </w:style>
  <w:style w:type="paragraph" w:styleId="48">
    <w:name w:val="List Paragraph"/>
    <w:basedOn w:val="1"/>
    <w:qFormat/>
    <w:uiPriority w:val="34"/>
    <w:pPr>
      <w:ind w:firstLine="420" w:firstLineChars="200"/>
    </w:pPr>
  </w:style>
  <w:style w:type="paragraph" w:customStyle="1" w:styleId="49">
    <w:name w:val="Char Char Char Char Char Char Char1 Char"/>
    <w:basedOn w:val="1"/>
    <w:qFormat/>
    <w:uiPriority w:val="0"/>
    <w:rPr>
      <w:rFonts w:ascii="Arial" w:hAnsi="Arial" w:eastAsia="宋体" w:cs="Arial"/>
      <w:sz w:val="24"/>
    </w:rPr>
  </w:style>
  <w:style w:type="table" w:customStyle="1" w:styleId="50">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1">
    <w:name w:val="日期 字符"/>
    <w:basedOn w:val="24"/>
    <w:semiHidden/>
    <w:qFormat/>
    <w:uiPriority w:val="99"/>
    <w:rPr>
      <w:rFonts w:ascii="@仿宋_GB2312" w:hAnsi="@仿宋_GB2312" w:eastAsia="@仿宋_GB2312" w:cs="@仿宋_GB2312"/>
      <w:szCs w:val="20"/>
    </w:rPr>
  </w:style>
  <w:style w:type="character" w:customStyle="1" w:styleId="52">
    <w:name w:val="日期 Char"/>
    <w:link w:val="11"/>
    <w:qFormat/>
    <w:uiPriority w:val="0"/>
    <w:rPr>
      <w:rFonts w:ascii="Arial" w:hAnsi="Arial" w:eastAsia="宋体" w:cs="Arial"/>
      <w:b/>
      <w:sz w:val="28"/>
      <w:szCs w:val="20"/>
    </w:rPr>
  </w:style>
  <w:style w:type="character" w:customStyle="1" w:styleId="53">
    <w:name w:val="纯文本 Char1"/>
    <w:link w:val="54"/>
    <w:qFormat/>
    <w:locked/>
    <w:uiPriority w:val="0"/>
    <w:rPr>
      <w:rFonts w:ascii="Arial" w:hAnsi="Arial" w:eastAsia="Arial"/>
      <w:kern w:val="2"/>
      <w:sz w:val="21"/>
      <w:lang w:val="en-US" w:eastAsia="zh-CN" w:bidi="ar-SA"/>
    </w:rPr>
  </w:style>
  <w:style w:type="paragraph" w:customStyle="1" w:styleId="54">
    <w:name w:val="纯文本1"/>
    <w:basedOn w:val="1"/>
    <w:link w:val="53"/>
    <w:qFormat/>
    <w:uiPriority w:val="0"/>
    <w:rPr>
      <w:rFonts w:ascii="Arial" w:hAnsi="Arial" w:eastAsia="Arial" w:cstheme="minorBidi"/>
    </w:rPr>
  </w:style>
  <w:style w:type="character" w:customStyle="1" w:styleId="55">
    <w:name w:val="批注文字 Char"/>
    <w:basedOn w:val="24"/>
    <w:semiHidden/>
    <w:qFormat/>
    <w:uiPriority w:val="99"/>
    <w:rPr>
      <w:rFonts w:ascii="@仿宋_GB2312" w:hAnsi="@仿宋_GB2312" w:eastAsia="@仿宋_GB2312" w:cs="@仿宋_GB2312"/>
      <w:szCs w:val="20"/>
    </w:rPr>
  </w:style>
  <w:style w:type="character" w:customStyle="1" w:styleId="56">
    <w:name w:val="批注文字 Char1"/>
    <w:link w:val="7"/>
    <w:qFormat/>
    <w:uiPriority w:val="0"/>
    <w:rPr>
      <w:rFonts w:ascii="Arial" w:hAnsi="Arial" w:eastAsia="黑体" w:cs="Arial"/>
      <w:szCs w:val="20"/>
    </w:rPr>
  </w:style>
  <w:style w:type="character" w:customStyle="1" w:styleId="57">
    <w:name w:val="标题 1 Char"/>
    <w:basedOn w:val="24"/>
    <w:link w:val="2"/>
    <w:qFormat/>
    <w:uiPriority w:val="9"/>
    <w:rPr>
      <w:rFonts w:ascii="@仿宋_GB2312" w:hAnsi="@仿宋_GB2312" w:eastAsia="@仿宋_GB2312" w:cs="@仿宋_GB2312"/>
      <w:b/>
      <w:bCs/>
      <w:kern w:val="44"/>
      <w:sz w:val="44"/>
      <w:szCs w:val="44"/>
    </w:rPr>
  </w:style>
  <w:style w:type="paragraph" w:customStyle="1" w:styleId="5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9">
    <w:name w:val="标题 3 Char"/>
    <w:basedOn w:val="24"/>
    <w:link w:val="4"/>
    <w:semiHidden/>
    <w:qFormat/>
    <w:uiPriority w:val="9"/>
    <w:rPr>
      <w:rFonts w:ascii="@仿宋_GB2312" w:hAnsi="@仿宋_GB2312" w:eastAsia="@仿宋_GB2312" w:cs="@仿宋_GB2312"/>
      <w:b/>
      <w:bCs/>
      <w:sz w:val="32"/>
      <w:szCs w:val="32"/>
    </w:rPr>
  </w:style>
  <w:style w:type="character" w:customStyle="1" w:styleId="60">
    <w:name w:val="fontstyle01"/>
    <w:basedOn w:val="24"/>
    <w:qFormat/>
    <w:uiPriority w:val="0"/>
    <w:rPr>
      <w:rFonts w:hint="eastAsia" w:ascii="宋体" w:hAnsi="宋体" w:eastAsia="宋体"/>
      <w:color w:val="000000"/>
      <w:sz w:val="22"/>
      <w:szCs w:val="22"/>
    </w:rPr>
  </w:style>
  <w:style w:type="character" w:customStyle="1" w:styleId="61">
    <w:name w:val="fontstyle21"/>
    <w:basedOn w:val="24"/>
    <w:qFormat/>
    <w:uiPriority w:val="0"/>
    <w:rPr>
      <w:rFonts w:hint="default" w:ascii="TimesNewRomanPSMT" w:hAnsi="TimesNewRomanPSMT"/>
      <w:color w:val="000000"/>
      <w:sz w:val="22"/>
      <w:szCs w:val="22"/>
    </w:rPr>
  </w:style>
  <w:style w:type="character" w:customStyle="1" w:styleId="6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3">
    <w:name w:val="标题 4 字符"/>
    <w:basedOn w:val="24"/>
    <w:semiHidden/>
    <w:qFormat/>
    <w:uiPriority w:val="9"/>
    <w:rPr>
      <w:rFonts w:asciiTheme="majorHAnsi" w:hAnsiTheme="majorHAnsi" w:eastAsiaTheme="majorEastAsia" w:cstheme="majorBidi"/>
      <w:b/>
      <w:bCs/>
      <w:sz w:val="28"/>
      <w:szCs w:val="28"/>
    </w:rPr>
  </w:style>
  <w:style w:type="character" w:customStyle="1" w:styleId="64">
    <w:name w:val="标题 4 Char"/>
    <w:link w:val="5"/>
    <w:qFormat/>
    <w:uiPriority w:val="0"/>
    <w:rPr>
      <w:rFonts w:ascii="@仿宋_GB2312" w:hAnsi="@仿宋_GB2312" w:eastAsia="@仿宋_GB2312" w:cs="@仿宋_GB2312"/>
      <w:b/>
      <w:bCs/>
      <w:sz w:val="28"/>
      <w:szCs w:val="28"/>
    </w:rPr>
  </w:style>
  <w:style w:type="character" w:customStyle="1" w:styleId="65">
    <w:name w:val="正文文本 Char"/>
    <w:basedOn w:val="24"/>
    <w:link w:val="8"/>
    <w:qFormat/>
    <w:uiPriority w:val="0"/>
    <w:rPr>
      <w:rFonts w:ascii="@微软简标宋" w:hAnsi="@微软简标宋" w:eastAsia="@微软简标宋" w:cs="@微软简标宋"/>
      <w:szCs w:val="24"/>
      <w:lang w:val="zh-CN" w:eastAsia="zh-CN"/>
    </w:rPr>
  </w:style>
  <w:style w:type="table" w:customStyle="1" w:styleId="66">
    <w:name w:val="网格型1"/>
    <w:basedOn w:val="2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Arial" w:hAnsi="Arial" w:eastAsia="Arial" w:cs="Arial"/>
      <w:szCs w:val="21"/>
      <w:lang w:eastAsia="en-US"/>
    </w:rPr>
  </w:style>
  <w:style w:type="character" w:customStyle="1" w:styleId="69">
    <w:name w:val="批注主题 Char"/>
    <w:basedOn w:val="56"/>
    <w:link w:val="20"/>
    <w:semiHidden/>
    <w:qFormat/>
    <w:uiPriority w:val="99"/>
    <w:rPr>
      <w:rFonts w:ascii="@仿宋_GB2312" w:hAnsi="@仿宋_GB2312" w:eastAsia="@仿宋_GB2312" w:cs="@仿宋_GB2312"/>
      <w:b/>
      <w:bCs/>
      <w:kern w:val="2"/>
      <w:sz w:val="21"/>
    </w:rPr>
  </w:style>
  <w:style w:type="paragraph" w:customStyle="1" w:styleId="70">
    <w:name w:val="正文_0"/>
    <w:qFormat/>
    <w:uiPriority w:val="0"/>
    <w:pPr>
      <w:widowControl w:val="0"/>
      <w:jc w:val="both"/>
    </w:pPr>
    <w:rPr>
      <w:rFonts w:ascii="Tahoma" w:hAnsi="Tahoma" w:eastAsia="宋体" w:cs="Tahoma"/>
      <w:kern w:val="2"/>
      <w:sz w:val="21"/>
      <w:szCs w:val="22"/>
      <w:lang w:val="en-US" w:eastAsia="zh-CN" w:bidi="ar-SA"/>
    </w:rPr>
  </w:style>
  <w:style w:type="character" w:customStyle="1" w:styleId="71">
    <w:name w:val="font21"/>
    <w:basedOn w:val="24"/>
    <w:qFormat/>
    <w:uiPriority w:val="0"/>
    <w:rPr>
      <w:rFonts w:hint="eastAsia" w:ascii="宋体" w:hAnsi="宋体" w:eastAsia="宋体" w:cs="宋体"/>
      <w:color w:val="000000"/>
      <w:sz w:val="22"/>
      <w:szCs w:val="22"/>
      <w:u w:val="none"/>
    </w:rPr>
  </w:style>
  <w:style w:type="paragraph" w:customStyle="1" w:styleId="72">
    <w:name w:val="正文11"/>
    <w:next w:val="1"/>
    <w:qFormat/>
    <w:uiPriority w:val="0"/>
    <w:pPr>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2EA35-B3CC-4C75-A1E3-9E917DDEBDC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48</Pages>
  <Words>22470</Words>
  <Characters>23506</Characters>
  <Lines>224</Lines>
  <Paragraphs>63</Paragraphs>
  <TotalTime>3</TotalTime>
  <ScaleCrop>false</ScaleCrop>
  <LinksUpToDate>false</LinksUpToDate>
  <CharactersWithSpaces>26134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…┫謎┣…</cp:lastModifiedBy>
  <cp:lastPrinted>2019-12-07T15:20:00Z</cp:lastPrinted>
  <dcterms:modified xsi:type="dcterms:W3CDTF">2025-10-21T07:51:30Z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9E906141B1E34241827932595E523563_13</vt:lpwstr>
  </property>
  <property fmtid="{D5CDD505-2E9C-101B-9397-08002B2CF9AE}" pid="4" name="KSOTemplateDocerSaveRecord">
    <vt:lpwstr>eyJoZGlkIjoiZjk1MDQ4NTZkOGZiZDVmOGNhM2U1NGU4NzZmZDExOTEiLCJ1c2VySWQiOiI0NDMyNDE2ODIifQ==</vt:lpwstr>
  </property>
</Properties>
</file>