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执业药师（药学、中药学）</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申请参加执业药师</w:t>
      </w:r>
      <w:r>
        <w:rPr>
          <w:rFonts w:hint="eastAsia" w:ascii="仿宋_GB2312" w:eastAsia="仿宋_GB2312" w:cs="仿宋_GB2312"/>
          <w:color w:val="000000"/>
          <w:sz w:val="32"/>
          <w:szCs w:val="32"/>
          <w:shd w:val="clear" w:color="auto" w:fill="FFFFFF"/>
        </w:rPr>
        <w:t>（药学、中药学）</w:t>
      </w:r>
      <w:r>
        <w:rPr>
          <w:rFonts w:ascii="仿宋_GB2312" w:eastAsia="仿宋_GB2312" w:cs="仿宋_GB2312"/>
          <w:color w:val="000000"/>
          <w:sz w:val="32"/>
          <w:szCs w:val="32"/>
          <w:shd w:val="clear" w:color="auto" w:fill="FFFFFF"/>
        </w:rPr>
        <w:t>职业资格考试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1.《中华人民共和国药品管理法》第八条。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2.《中华人民共和国药品管理法实施条例》(中华人民共和国国务院令第360号)第十五条。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3.《关于修改〈药品经营质量管理规范〉的决定》(国家食品药品监督管理总局令第28号)第二十条。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4.《药品生产质量管理规范》(卫生部令第79号)第二十三条。</w:t>
      </w:r>
    </w:p>
    <w:p>
      <w:pPr>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5.《关于印发〈执业药师职业资格制度规定〉和〈执业药师职业资格考试实施办法〉的通知》(国药监人〔2019〕12号)二、符合原人事部、原国家药品监督管理局《关于修订印发〈执业药师资格制度暂行规定〉和〈执业药师资格考试实施办法〉的通知》（人发〔1999〕34号）。</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241E635F"/>
    <w:rsid w:val="3B4E0F97"/>
    <w:rsid w:val="447A3B7A"/>
    <w:rsid w:val="44B13910"/>
    <w:rsid w:val="47E0601B"/>
    <w:rsid w:val="557D20AA"/>
    <w:rsid w:val="5ADA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4</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2021-02-20T08:36:51Z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