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_GB2312" w:eastAsia="仿宋_GB2312"/>
          <w:sz w:val="32"/>
          <w:szCs w:val="32"/>
          <w:u w:val="single"/>
        </w:rPr>
        <w:t>民办职业培训学校设立审批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_GB2312" w:eastAsia="仿宋_GB2312"/>
          <w:sz w:val="32"/>
          <w:szCs w:val="32"/>
          <w:u w:val="single"/>
        </w:rPr>
        <w:t>1、校长、专职管理人员、财务人员、教师等的资格证明材料及聘任合同意向书复印件；2、办学场所产权材料;3、申请专业（工种）的教学大纲及教学计划。4、学校章程（学校董事会人员名单）及管理制度5、办学场所符合环保、劳保、安全、消防、卫生等有关规定的材料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1、校长、专职管理人员、财务人员、教师等的资格证明材料及聘任合同意向书复印件；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、办学场所产权材料;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3、申请专业（工种）的教学大纲及教学计划。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4、学校章程（学校董事会人员名单）及管理制度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5、办学场所符合环保、劳保、安全、消防、卫生等有关规定的材料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民办职业培训学校设立审批。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关于印发《安徽省民办职业教育培训机构审批暂行办法》（劳社〔2005〕29号）。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证明的内容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1、证明校长、专职管理人员、财务人员、教师等的资格；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、证明办学场所产权;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3、证明教学大纲及教学计划。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4、证明学校章程及管理制度</w:t>
      </w:r>
    </w:p>
    <w:p>
      <w:pPr>
        <w:ind w:firstLine="960" w:firstLineChars="3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5、证明办学场所符合环保、劳保、安全、消防、卫生等规定</w:t>
      </w:r>
      <w:bookmarkStart w:id="0" w:name="_GoBack"/>
      <w:bookmarkEnd w:id="0"/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对于严重失信单位，由相关部门实施联合惩戒。失信人员信息视情况向社会公布，涉及犯罪的，移送司法机关处理。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1、校长、专职管理人员、财务人员、教师等是否符合条件（□是 □否）；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2、办学场所是否符合条件（□是 □否）；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3、申请专业（工种）的教学大纲及教学计划是否满足教育需求（□是 □否）；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学校章程（学校董事会人员名单）及管理制度是否建立（□是 □否）；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5、办学场所符合环保、劳保、安全、消防、卫生等是否符合有关规定（□是 □否）；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6AE41"/>
    <w:multiLevelType w:val="singleLevel"/>
    <w:tmpl w:val="A756AE4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6435159"/>
    <w:rsid w:val="0B6C5CDC"/>
    <w:rsid w:val="43F90DE1"/>
    <w:rsid w:val="447A3B7A"/>
    <w:rsid w:val="47E0601B"/>
    <w:rsid w:val="52C40443"/>
    <w:rsid w:val="5A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2021-02-19T01:17:16Z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