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spacing w:val="0"/>
          <w:sz w:val="32"/>
          <w:szCs w:val="32"/>
          <w:highlight w:val="none"/>
          <w:lang w:val="en-US" w:eastAsia="zh-CN"/>
        </w:rPr>
      </w:pPr>
      <w:r>
        <w:rPr>
          <w:rFonts w:hint="eastAsia" w:ascii="黑体" w:hAnsi="黑体" w:eastAsia="黑体" w:cs="黑体"/>
          <w:b w:val="0"/>
          <w:bCs/>
          <w:spacing w:val="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highlight w:val="none"/>
          <w:lang w:eastAsia="zh-CN"/>
        </w:rPr>
      </w:pPr>
      <w:bookmarkStart w:id="0" w:name="_GoBack"/>
      <w:r>
        <w:rPr>
          <w:rFonts w:hint="eastAsia" w:ascii="方正小标宋简体" w:hAnsi="方正小标宋简体" w:eastAsia="方正小标宋简体" w:cs="方正小标宋简体"/>
          <w:spacing w:val="0"/>
          <w:sz w:val="44"/>
          <w:szCs w:val="44"/>
          <w:highlight w:val="none"/>
        </w:rPr>
        <w:t>劳务派遣单位信用等级评价自评</w:t>
      </w:r>
      <w:r>
        <w:rPr>
          <w:rFonts w:hint="eastAsia" w:ascii="方正小标宋简体" w:hAnsi="方正小标宋简体" w:eastAsia="方正小标宋简体" w:cs="方正小标宋简体"/>
          <w:spacing w:val="0"/>
          <w:sz w:val="44"/>
          <w:szCs w:val="44"/>
          <w:highlight w:val="none"/>
          <w:lang w:eastAsia="zh-CN"/>
        </w:rPr>
        <w:t>表</w:t>
      </w:r>
    </w:p>
    <w:bookmarkEnd w:id="0"/>
    <w:p>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ascii="仿宋_GB2312" w:hAnsi="仿宋_GB2312" w:eastAsia="仿宋_GB2312" w:cs="仿宋_GB2312"/>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rPr>
          <w:rFonts w:hint="default" w:ascii="仿宋_GB2312" w:hAnsi="仿宋_GB2312" w:eastAsia="仿宋_GB2312" w:cs="仿宋_GB2312"/>
          <w:spacing w:val="0"/>
          <w:sz w:val="28"/>
          <w:szCs w:val="28"/>
          <w:highlight w:val="none"/>
          <w:u w:val="none"/>
          <w:lang w:val="en-US" w:eastAsia="zh-CN"/>
        </w:rPr>
      </w:pPr>
      <w:r>
        <w:rPr>
          <w:rFonts w:hint="eastAsia" w:ascii="仿宋_GB2312" w:hAnsi="仿宋_GB2312" w:eastAsia="仿宋_GB2312" w:cs="仿宋_GB2312"/>
          <w:spacing w:val="0"/>
          <w:sz w:val="28"/>
          <w:szCs w:val="28"/>
          <w:highlight w:val="none"/>
          <w:lang w:val="en-US" w:eastAsia="zh-CN"/>
        </w:rPr>
        <w:t xml:space="preserve">申请单位（盖章）：                               </w:t>
      </w:r>
    </w:p>
    <w:tbl>
      <w:tblPr>
        <w:tblStyle w:val="3"/>
        <w:tblW w:w="9722"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523"/>
        <w:gridCol w:w="6123"/>
        <w:gridCol w:w="93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510" w:hRule="atLeast"/>
        </w:trPr>
        <w:tc>
          <w:tcPr>
            <w:tcW w:w="1130" w:type="dxa"/>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黑体" w:hAnsi="Times New Roman" w:eastAsia="黑体" w:cs="Times New Roman"/>
                <w:kern w:val="0"/>
                <w:szCs w:val="24"/>
                <w:highlight w:val="none"/>
              </w:rPr>
            </w:pPr>
            <w:r>
              <w:rPr>
                <w:rFonts w:ascii="Times New Roman" w:hAnsi="Times New Roman" w:eastAsia="宋体" w:cs="Times New Roman"/>
                <w:szCs w:val="24"/>
                <w:highlight w:val="none"/>
              </w:rPr>
              <w:br w:type="page"/>
            </w:r>
            <w:r>
              <w:rPr>
                <w:rFonts w:hint="eastAsia" w:ascii="黑体" w:hAnsi="黑体" w:eastAsia="黑体" w:cs="Times New Roman"/>
                <w:kern w:val="0"/>
                <w:szCs w:val="24"/>
                <w:highlight w:val="none"/>
              </w:rPr>
              <w:t>一级指标</w:t>
            </w: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黑体" w:hAnsi="Times New Roman" w:eastAsia="黑体" w:cs="Times New Roman"/>
                <w:kern w:val="0"/>
                <w:szCs w:val="24"/>
                <w:highlight w:val="none"/>
              </w:rPr>
            </w:pPr>
            <w:r>
              <w:rPr>
                <w:rFonts w:hint="eastAsia" w:ascii="黑体" w:hAnsi="黑体" w:eastAsia="黑体" w:cs="Times New Roman"/>
                <w:kern w:val="0"/>
                <w:szCs w:val="24"/>
                <w:highlight w:val="none"/>
              </w:rPr>
              <w:t>二级指标</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黑体" w:hAnsi="Times New Roman" w:eastAsia="黑体" w:cs="Times New Roman"/>
                <w:kern w:val="0"/>
                <w:szCs w:val="24"/>
                <w:highlight w:val="none"/>
              </w:rPr>
            </w:pPr>
            <w:r>
              <w:rPr>
                <w:rFonts w:hint="eastAsia" w:ascii="黑体" w:hAnsi="黑体" w:eastAsia="黑体" w:cs="Times New Roman"/>
                <w:kern w:val="0"/>
                <w:szCs w:val="24"/>
                <w:highlight w:val="none"/>
              </w:rPr>
              <w:t>评价细则</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黑体" w:hAnsi="黑体" w:eastAsia="黑体" w:cs="Times New Roman"/>
                <w:kern w:val="0"/>
                <w:szCs w:val="24"/>
                <w:highlight w:val="none"/>
              </w:rPr>
            </w:pPr>
            <w:r>
              <w:rPr>
                <w:rFonts w:hint="eastAsia" w:ascii="黑体" w:hAnsi="黑体" w:eastAsia="黑体" w:cs="Times New Roman"/>
                <w:kern w:val="0"/>
                <w:szCs w:val="24"/>
                <w:highlight w:val="none"/>
              </w:rPr>
              <w:t>自评</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黑体" w:hAnsi="Times New Roman" w:eastAsia="黑体" w:cs="Times New Roman"/>
                <w:kern w:val="0"/>
                <w:szCs w:val="24"/>
                <w:highlight w:val="none"/>
              </w:rPr>
            </w:pPr>
            <w:r>
              <w:rPr>
                <w:rFonts w:hint="eastAsia" w:ascii="黑体" w:hAnsi="黑体" w:eastAsia="黑体" w:cs="Times New Roman"/>
                <w:kern w:val="0"/>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基本指标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（100分）</w:t>
            </w: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获得许可并参加核验（60分）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依法取得有效《劳务派遣经营许可证》且依法参加劳务派遣年度经营情况核验的，初始分为60分。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经营行业</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主营业务是劳务派遣的，得5分。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人员配备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公</w:t>
            </w:r>
            <w:r>
              <w:rPr>
                <w:rFonts w:hint="eastAsia" w:ascii="宋体" w:hAnsi="宋体" w:eastAsia="宋体" w:cs="宋体"/>
                <w:spacing w:val="-6"/>
                <w:sz w:val="21"/>
                <w:szCs w:val="21"/>
                <w:highlight w:val="none"/>
              </w:rPr>
              <w:t>司拥有持有劳动关系协调、劳动人事争议调解或人力资源资格等证书的专业人员，满2名的，得1分；每多１名增加１分，最多得5分。持证人员以与本公司签订劳动合同并缴纳社会保险费为准。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劳动合同</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公司与所有员工</w:t>
            </w:r>
            <w:r>
              <w:rPr>
                <w:rFonts w:hint="eastAsia" w:ascii="宋体" w:hAnsi="宋体" w:eastAsia="宋体" w:cs="宋体"/>
                <w:szCs w:val="21"/>
                <w:highlight w:val="none"/>
                <w:shd w:val="clear" w:color="auto" w:fill="auto"/>
              </w:rPr>
              <w:t>（含劳务派遣工）</w:t>
            </w:r>
            <w:r>
              <w:rPr>
                <w:rFonts w:hint="eastAsia" w:ascii="宋体" w:hAnsi="宋体" w:eastAsia="宋体" w:cs="宋体"/>
                <w:szCs w:val="21"/>
                <w:highlight w:val="none"/>
              </w:rPr>
              <w:t>均</w:t>
            </w:r>
            <w:r>
              <w:rPr>
                <w:rFonts w:hint="eastAsia" w:ascii="宋体" w:hAnsi="宋体" w:eastAsia="宋体" w:cs="宋体"/>
                <w:szCs w:val="21"/>
                <w:highlight w:val="none"/>
                <w:lang w:eastAsia="zh-CN"/>
              </w:rPr>
              <w:t>依法</w:t>
            </w:r>
            <w:r>
              <w:rPr>
                <w:rFonts w:hint="eastAsia" w:ascii="宋体" w:hAnsi="宋体" w:eastAsia="宋体" w:cs="宋体"/>
                <w:szCs w:val="21"/>
                <w:highlight w:val="none"/>
              </w:rPr>
              <w:t>签订劳动合同的，</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1分；在安徽省电子劳动合同综合服务平台签订电子劳动合同、或者在其他平台签订的电子劳动合同并按照数据管理规范要求汇集至安徽省电子劳动合同综合服务平台的，</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社会保险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公司为所有员工依法参加社会保险并缴纳社会保险费的，得3分。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党组织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设立党的基层组织的，得3分。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工会组织</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依法建立工会组织的，得1分；每年至少开展工会活动2次的，得2分。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规章制度</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有完善的劳务派遣管理制度，管理制度经职工代表大会或者全体职工讨论，并公示或者告知劳动者的，得3分。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信息系统</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有完善的信息管理系统并通过信息管理系统进行管理的，得3分。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安全生产</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建立健全安全生产规章制度、操作规程、事故应急预案等并进行演练的，得3分。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职工培训</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建立培训制度，对被派遣劳动者进行上岗知识、安全教育培训的，得3分。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信息公开</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在经营场所显著位置公示劳务派遣经营许可证、营业执照、服务项目、服务收费标准、公示管理制度、服务流程等的，得3分。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建立服务质量体系，并通过ISO9000等质量管理体系标准认证通过的，得3分。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加分指标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shd w:val="clear" w:color="auto" w:fill="auto"/>
              </w:rPr>
              <w:t>100</w:t>
            </w:r>
            <w:r>
              <w:rPr>
                <w:rFonts w:hint="eastAsia" w:ascii="宋体" w:hAnsi="宋体" w:eastAsia="宋体" w:cs="宋体"/>
                <w:szCs w:val="21"/>
                <w:highlight w:val="none"/>
              </w:rPr>
              <w:t>分）</w:t>
            </w:r>
          </w:p>
        </w:tc>
        <w:tc>
          <w:tcPr>
            <w:tcW w:w="1523"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获得表彰</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获得党中央、国务院（含中办、国办）表彰的，加30分；其他国家级综合性表彰或认定先进的（人力资源</w:t>
            </w:r>
            <w:r>
              <w:rPr>
                <w:rFonts w:hint="eastAsia" w:ascii="宋体" w:hAnsi="宋体" w:eastAsia="宋体" w:cs="宋体"/>
                <w:szCs w:val="21"/>
                <w:highlight w:val="none"/>
                <w:lang w:val="en-US" w:eastAsia="zh-CN"/>
              </w:rPr>
              <w:t>和</w:t>
            </w:r>
            <w:r>
              <w:rPr>
                <w:rFonts w:hint="eastAsia" w:ascii="宋体" w:hAnsi="宋体" w:eastAsia="宋体" w:cs="宋体"/>
                <w:szCs w:val="21"/>
                <w:highlight w:val="none"/>
              </w:rPr>
              <w:t>社会保障部单独或联合发文），加20分。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rPr>
            </w:pP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获得省委、省政府（含两办）表彰的，加20分；其他省级综合性表彰或认定先进的（省人力资源</w:t>
            </w:r>
            <w:r>
              <w:rPr>
                <w:rFonts w:hint="eastAsia" w:ascii="宋体" w:hAnsi="宋体" w:eastAsia="宋体" w:cs="宋体"/>
                <w:szCs w:val="21"/>
                <w:highlight w:val="none"/>
                <w:lang w:val="en-US" w:eastAsia="zh-CN"/>
              </w:rPr>
              <w:t>和</w:t>
            </w:r>
            <w:r>
              <w:rPr>
                <w:rFonts w:hint="eastAsia" w:ascii="宋体" w:hAnsi="宋体" w:eastAsia="宋体" w:cs="宋体"/>
                <w:szCs w:val="21"/>
                <w:highlight w:val="none"/>
              </w:rPr>
              <w:t>社会保障厅单独或联合发文），加10分。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rPr>
            </w:pP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获得设区的市委、市政府（含两办）表彰的，加10分；获得县（市、区）委、县（市、区）政府（含两办）表彰</w:t>
            </w:r>
            <w:r>
              <w:rPr>
                <w:rFonts w:hint="eastAsia" w:ascii="宋体" w:hAnsi="宋体" w:eastAsia="宋体" w:cs="宋体"/>
                <w:szCs w:val="21"/>
                <w:highlight w:val="none"/>
                <w:lang w:eastAsia="zh-CN"/>
              </w:rPr>
              <w:t>，或</w:t>
            </w:r>
            <w:r>
              <w:rPr>
                <w:rFonts w:hint="eastAsia" w:ascii="宋体" w:hAnsi="宋体" w:eastAsia="宋体" w:cs="宋体"/>
                <w:szCs w:val="21"/>
                <w:highlight w:val="none"/>
              </w:rPr>
              <w:t>其他市级综合性表彰或认定先进的（设区的市人力资源</w:t>
            </w:r>
            <w:r>
              <w:rPr>
                <w:rFonts w:hint="eastAsia" w:ascii="宋体" w:hAnsi="宋体" w:eastAsia="宋体" w:cs="宋体"/>
                <w:szCs w:val="21"/>
                <w:highlight w:val="none"/>
                <w:lang w:val="en-US" w:eastAsia="zh-CN"/>
              </w:rPr>
              <w:t>和</w:t>
            </w:r>
            <w:r>
              <w:rPr>
                <w:rFonts w:hint="eastAsia" w:ascii="宋体" w:hAnsi="宋体" w:eastAsia="宋体" w:cs="宋体"/>
                <w:szCs w:val="21"/>
                <w:highlight w:val="none"/>
              </w:rPr>
              <w:t>社会保障局单独或联合发文），加</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和谐劳动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关系建设</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被认定为和谐劳动关系企业，国家级的，加30分；省级的，加20分；市级的，加10分。</w:t>
            </w:r>
            <w:r>
              <w:rPr>
                <w:rFonts w:hint="eastAsia" w:ascii="宋体" w:hAnsi="宋体" w:eastAsia="宋体" w:cs="宋体"/>
                <w:szCs w:val="21"/>
                <w:highlight w:val="none"/>
                <w:lang w:val="en-US" w:eastAsia="zh-CN"/>
              </w:rPr>
              <w:t xml:space="preserve"> </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注册资本</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实缴资本300万元以上不满500万元的，得1分；500万元以上不满1000万元的，得3分；1000万元以上的，得5分。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经营场地</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shd w:val="clear" w:color="auto" w:fill="auto"/>
              </w:rPr>
              <w:t>10</w:t>
            </w:r>
            <w:r>
              <w:rPr>
                <w:rFonts w:hint="eastAsia" w:ascii="宋体" w:hAnsi="宋体" w:eastAsia="宋体" w:cs="宋体"/>
                <w:szCs w:val="21"/>
                <w:highlight w:val="none"/>
              </w:rPr>
              <w:t>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经营场所面积50㎡以上不满100㎡的，得</w:t>
            </w:r>
            <w:r>
              <w:rPr>
                <w:rFonts w:hint="eastAsia" w:ascii="宋体" w:hAnsi="宋体" w:eastAsia="宋体" w:cs="宋体"/>
                <w:szCs w:val="21"/>
                <w:highlight w:val="none"/>
                <w:shd w:val="clear" w:color="auto" w:fill="auto"/>
                <w:lang w:val="en-US" w:eastAsia="zh-CN"/>
              </w:rPr>
              <w:t>3</w:t>
            </w:r>
            <w:r>
              <w:rPr>
                <w:rFonts w:hint="eastAsia" w:ascii="宋体" w:hAnsi="宋体" w:eastAsia="宋体" w:cs="宋体"/>
                <w:szCs w:val="21"/>
                <w:highlight w:val="none"/>
              </w:rPr>
              <w:t>分，100㎡以上不满500㎡的，得</w:t>
            </w:r>
            <w:r>
              <w:rPr>
                <w:rFonts w:hint="eastAsia" w:ascii="宋体" w:hAnsi="宋体" w:eastAsia="宋体" w:cs="宋体"/>
                <w:szCs w:val="21"/>
                <w:highlight w:val="none"/>
                <w:shd w:val="clear" w:color="auto" w:fill="auto"/>
                <w:lang w:val="en-US" w:eastAsia="zh-CN"/>
              </w:rPr>
              <w:t>5</w:t>
            </w:r>
            <w:r>
              <w:rPr>
                <w:rFonts w:hint="eastAsia" w:ascii="宋体" w:hAnsi="宋体" w:eastAsia="宋体" w:cs="宋体"/>
                <w:szCs w:val="21"/>
                <w:highlight w:val="none"/>
              </w:rPr>
              <w:t>分，500㎡以上</w:t>
            </w:r>
            <w:r>
              <w:rPr>
                <w:rFonts w:hint="eastAsia" w:ascii="宋体" w:hAnsi="宋体" w:eastAsia="宋体" w:cs="宋体"/>
                <w:szCs w:val="21"/>
                <w:highlight w:val="none"/>
                <w:lang w:eastAsia="zh-CN"/>
              </w:rPr>
              <w:t>不满</w:t>
            </w:r>
            <w:r>
              <w:rPr>
                <w:rFonts w:hint="eastAsia" w:ascii="宋体" w:hAnsi="宋体" w:eastAsia="宋体" w:cs="宋体"/>
                <w:szCs w:val="21"/>
                <w:highlight w:val="none"/>
                <w:lang w:val="en-US" w:eastAsia="zh-CN"/>
              </w:rPr>
              <w:t>1000㎡</w:t>
            </w:r>
            <w:r>
              <w:rPr>
                <w:rFonts w:hint="eastAsia" w:ascii="宋体" w:hAnsi="宋体" w:eastAsia="宋体" w:cs="宋体"/>
                <w:szCs w:val="21"/>
                <w:highlight w:val="none"/>
              </w:rPr>
              <w:t>的，得</w:t>
            </w:r>
            <w:r>
              <w:rPr>
                <w:rFonts w:hint="eastAsia" w:ascii="宋体" w:hAnsi="宋体" w:eastAsia="宋体" w:cs="宋体"/>
                <w:szCs w:val="21"/>
                <w:highlight w:val="none"/>
                <w:shd w:val="clear" w:color="auto" w:fill="auto"/>
                <w:lang w:val="en-US" w:eastAsia="zh-CN"/>
              </w:rPr>
              <w:t>7</w:t>
            </w:r>
            <w:r>
              <w:rPr>
                <w:rFonts w:hint="eastAsia" w:ascii="宋体" w:hAnsi="宋体" w:eastAsia="宋体" w:cs="宋体"/>
                <w:szCs w:val="21"/>
                <w:highlight w:val="none"/>
                <w:shd w:val="clear" w:color="auto" w:fill="auto"/>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1000㎡以上的，得10分</w:t>
            </w:r>
            <w:r>
              <w:rPr>
                <w:rFonts w:hint="eastAsia" w:ascii="宋体" w:hAnsi="宋体" w:eastAsia="宋体" w:cs="宋体"/>
                <w:szCs w:val="21"/>
                <w:highlight w:val="none"/>
              </w:rPr>
              <w:t>。</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经营年限</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shd w:val="clear" w:color="auto" w:fill="auto"/>
              </w:rPr>
              <w:t>10</w:t>
            </w:r>
            <w:r>
              <w:rPr>
                <w:rFonts w:hint="eastAsia" w:ascii="宋体" w:hAnsi="宋体" w:eastAsia="宋体" w:cs="宋体"/>
                <w:szCs w:val="21"/>
                <w:highlight w:val="none"/>
              </w:rPr>
              <w:t>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经营劳务派遣业务年限每满</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分，累计最多不超过</w:t>
            </w:r>
            <w:r>
              <w:rPr>
                <w:rFonts w:hint="eastAsia" w:ascii="宋体" w:hAnsi="宋体" w:eastAsia="宋体" w:cs="宋体"/>
                <w:szCs w:val="21"/>
                <w:highlight w:val="none"/>
                <w:shd w:val="clear" w:color="auto" w:fill="auto"/>
              </w:rPr>
              <w:t>10</w:t>
            </w:r>
            <w:r>
              <w:rPr>
                <w:rFonts w:hint="eastAsia" w:ascii="宋体" w:hAnsi="宋体" w:eastAsia="宋体" w:cs="宋体"/>
                <w:szCs w:val="21"/>
                <w:highlight w:val="none"/>
              </w:rPr>
              <w:t>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协调机制</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建立劳动争议调解组织的，加3分，被选树为市级以上金牌调解组织的，加5分。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51"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人才培养</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在评价周期内，培养出持有高级工及以上职业资格（职业技能等级）或中级及以上专业技术资格证书的技术技能人才，加5分。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律师配备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配备专/兼职律师的，加5分。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减分指标</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shd w:val="clear" w:color="auto" w:fill="auto"/>
              </w:rPr>
              <w:t>155</w:t>
            </w:r>
            <w:r>
              <w:rPr>
                <w:rFonts w:hint="eastAsia" w:ascii="宋体" w:hAnsi="宋体" w:eastAsia="宋体" w:cs="宋体"/>
                <w:szCs w:val="21"/>
                <w:highlight w:val="none"/>
              </w:rPr>
              <w:t>分）</w:t>
            </w: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违法派遣</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以承揽、外包等名义实施的假外包真派遣，自派遣，派遣非全日制用工，派遣日结工的等，每有一项扣10分，最多扣30分。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劳动保障监察（20分）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因劳动保障违法行为被查处的，每次扣10分，最多扣20分。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65"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劳动争议仲裁（20分）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发生集体劳动争议案件且败诉（含部分败诉）的，每件扣10分，发生非集体劳动争议案件且败诉（含部分败诉）的，每件扣5分，最多扣20分。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4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业务开展</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未正常开展劳务派遣业务的不得评为A级及其以上等级，并按照以下标准扣分，评价周期内未正常开展劳务派遣业务的，扣5分；连续两个周期内未正常开展劳务派遣业务的，扣10分；连续三个周期内未正常开展劳务派遣业务的，扣15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个人社保代理（15分）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通过虚构劳动关系等手段，违法为他人办理参加社会保险手续，缴纳社会保</w:t>
            </w:r>
            <w:r>
              <w:rPr>
                <w:rFonts w:hint="eastAsia" w:ascii="宋体" w:hAnsi="宋体" w:eastAsia="宋体" w:cs="宋体"/>
                <w:szCs w:val="21"/>
                <w:highlight w:val="none"/>
                <w:lang w:eastAsia="zh-CN"/>
              </w:rPr>
              <w:t>险</w:t>
            </w:r>
            <w:r>
              <w:rPr>
                <w:rFonts w:hint="eastAsia" w:ascii="宋体" w:hAnsi="宋体" w:eastAsia="宋体" w:cs="宋体"/>
                <w:szCs w:val="21"/>
                <w:highlight w:val="none"/>
              </w:rPr>
              <w:t>费的，不满10人的，扣5分；10人以上不满100人的，扣10分；100人以上的，扣15分。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警示约谈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被人力资源和社会保障行政部门警示约谈的，每次扣5分，最多扣10分。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社保稽核</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社会保险稽核中发现存在违法行为的，每次扣</w:t>
            </w:r>
            <w:r>
              <w:rPr>
                <w:rFonts w:hint="eastAsia" w:ascii="宋体" w:hAnsi="宋体" w:eastAsia="宋体" w:cs="宋体"/>
                <w:szCs w:val="21"/>
                <w:highlight w:val="none"/>
                <w:shd w:val="clear" w:color="auto" w:fill="auto"/>
              </w:rPr>
              <w:t>2</w:t>
            </w:r>
            <w:r>
              <w:rPr>
                <w:rFonts w:hint="eastAsia" w:ascii="宋体" w:hAnsi="宋体" w:eastAsia="宋体" w:cs="宋体"/>
                <w:szCs w:val="21"/>
                <w:highlight w:val="none"/>
              </w:rPr>
              <w:t>分，最多扣10分。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虚开发票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（10分）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虚开劳务派遣方面发票的，扣10分。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逾期参加年度核验</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shd w:val="clear" w:color="auto" w:fill="auto"/>
              </w:rPr>
              <w:t>15</w:t>
            </w:r>
            <w:r>
              <w:rPr>
                <w:rFonts w:hint="eastAsia" w:ascii="宋体" w:hAnsi="宋体" w:eastAsia="宋体" w:cs="宋体"/>
                <w:szCs w:val="21"/>
                <w:highlight w:val="none"/>
              </w:rPr>
              <w:t>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逾期参加劳务派遣单位年度经营情况核验的，扣</w:t>
            </w:r>
            <w:r>
              <w:rPr>
                <w:rFonts w:hint="eastAsia" w:ascii="宋体" w:hAnsi="宋体" w:eastAsia="宋体" w:cs="宋体"/>
                <w:szCs w:val="21"/>
                <w:highlight w:val="none"/>
                <w:shd w:val="clear" w:color="auto" w:fill="auto"/>
              </w:rPr>
              <w:t>15</w:t>
            </w:r>
            <w:r>
              <w:rPr>
                <w:rFonts w:hint="eastAsia" w:ascii="宋体" w:hAnsi="宋体" w:eastAsia="宋体" w:cs="宋体"/>
                <w:szCs w:val="21"/>
                <w:highlight w:val="none"/>
              </w:rPr>
              <w:t>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注册地与经营地不一致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注册地和实际经营地不一致的，扣5分。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虚报注册资本（5分）</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实缴资本与注册资本不一致的，扣5分。</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限定性</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指标</w:t>
            </w: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骗取有关</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补贴</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劳务派遣单位截滞留失业保险稳岗返还等资金，劳务派遣单位通过虚假承诺、伪造证明材料等方式，骗取失业保险稳岗返还资金</w:t>
            </w:r>
            <w:r>
              <w:rPr>
                <w:rFonts w:hint="eastAsia" w:ascii="宋体" w:hAnsi="宋体" w:eastAsia="宋体" w:cs="宋体"/>
                <w:szCs w:val="21"/>
                <w:highlight w:val="none"/>
                <w:lang w:eastAsia="zh-CN"/>
              </w:rPr>
              <w:t>等社会保险待遇</w:t>
            </w:r>
            <w:r>
              <w:rPr>
                <w:rFonts w:hint="eastAsia" w:ascii="宋体" w:hAnsi="宋体" w:eastAsia="宋体" w:cs="宋体"/>
                <w:szCs w:val="21"/>
                <w:highlight w:val="none"/>
              </w:rPr>
              <w:t>的，直接认定为c级。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违法派遣行业或岗位</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向</w:t>
            </w:r>
            <w:r>
              <w:rPr>
                <w:rFonts w:hint="eastAsia" w:ascii="宋体" w:hAnsi="宋体" w:eastAsia="宋体" w:cs="宋体"/>
                <w:szCs w:val="21"/>
                <w:highlight w:val="none"/>
                <w:lang w:eastAsia="zh-CN"/>
              </w:rPr>
              <w:t>事关国家和人民生命财产的重点行业及</w:t>
            </w:r>
            <w:r>
              <w:rPr>
                <w:rFonts w:hint="eastAsia" w:ascii="宋体" w:hAnsi="宋体" w:eastAsia="宋体" w:cs="宋体"/>
                <w:szCs w:val="21"/>
                <w:highlight w:val="none"/>
              </w:rPr>
              <w:t>涉密、核心技术等</w:t>
            </w:r>
            <w:r>
              <w:rPr>
                <w:rFonts w:hint="eastAsia" w:ascii="宋体" w:hAnsi="宋体" w:eastAsia="宋体" w:cs="宋体"/>
                <w:szCs w:val="21"/>
                <w:highlight w:val="none"/>
                <w:lang w:eastAsia="zh-CN"/>
              </w:rPr>
              <w:t>岗位，专职消防员等安全生产岗位和煤矿、非煤矿山井下等</w:t>
            </w:r>
            <w:r>
              <w:rPr>
                <w:rFonts w:hint="eastAsia" w:ascii="宋体" w:hAnsi="宋体" w:eastAsia="宋体" w:cs="宋体"/>
                <w:szCs w:val="21"/>
                <w:highlight w:val="none"/>
              </w:rPr>
              <w:t>开展劳务派遣业务的，直接认定为c级。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未参加年度核验</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不参加劳务派遣单位年度经营情况核验，或提供虚假材料参加劳务派遣单位年度经营情况核验，或年度经营情况核验不合格的，直接认定为c级。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非法转让</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存在涂改、倒卖、出租、出借或者以其他形式非法转让经营劳务派遣业务资质的，直接认定为c级。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不良信用</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单位或单位法定代表人被列为失信执行人的，直接</w:t>
            </w:r>
            <w:r>
              <w:rPr>
                <w:rFonts w:hint="eastAsia" w:ascii="宋体" w:hAnsi="宋体" w:eastAsia="宋体" w:cs="宋体"/>
                <w:szCs w:val="21"/>
                <w:highlight w:val="none"/>
                <w:lang w:eastAsia="zh-CN"/>
              </w:rPr>
              <w:t>认</w:t>
            </w:r>
            <w:r>
              <w:rPr>
                <w:rFonts w:hint="eastAsia" w:ascii="宋体" w:hAnsi="宋体" w:eastAsia="宋体" w:cs="宋体"/>
                <w:szCs w:val="21"/>
                <w:highlight w:val="none"/>
              </w:rPr>
              <w:t>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安全事故</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在评价周期内发生重大及以上安全生产事故的，直接认定为c级。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不良社会</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影响</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发生因单位原因引发的劳动关系领域群体性、突发性等事件，造成不良社会影响的，直接认定为c级。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1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highlight w:val="none"/>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劳动保障</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违法行为</w:t>
            </w:r>
          </w:p>
        </w:tc>
        <w:tc>
          <w:tcPr>
            <w:tcW w:w="6123"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因劳动保障违法行为被依法行政处理处罚三次及以上的，直接认定为c级。</w:t>
            </w:r>
          </w:p>
        </w:tc>
        <w:tc>
          <w:tcPr>
            <w:tcW w:w="938"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76"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Calibri" w:hAnsi="Calibri" w:eastAsia="宋体" w:cs="Times New Roman"/>
                <w:szCs w:val="24"/>
                <w:highlight w:val="none"/>
                <w:lang w:val="en-US" w:eastAsia="zh-CN"/>
              </w:rPr>
            </w:pPr>
            <w:r>
              <w:rPr>
                <w:rFonts w:hint="eastAsia" w:ascii="Calibri" w:hAnsi="Calibri" w:eastAsia="宋体" w:cs="Times New Roman"/>
                <w:sz w:val="24"/>
                <w:szCs w:val="24"/>
                <w:highlight w:val="none"/>
                <w:lang w:val="en-US" w:eastAsia="zh-CN"/>
              </w:rPr>
              <w:t>自评总分</w:t>
            </w:r>
          </w:p>
        </w:tc>
        <w:tc>
          <w:tcPr>
            <w:tcW w:w="946"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eastAsia="宋体" w:cs="Times New Roman"/>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7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pacing w:val="-8"/>
                <w:sz w:val="20"/>
                <w:szCs w:val="20"/>
                <w:highlight w:val="no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0"/>
                <w:szCs w:val="20"/>
                <w:highlight w:val="none"/>
                <w:u w:val="single" w:color="auto"/>
              </w:rPr>
            </w:pPr>
            <w:r>
              <w:rPr>
                <w:rFonts w:hint="eastAsia" w:ascii="宋体" w:hAnsi="宋体" w:eastAsia="宋体" w:cs="宋体"/>
                <w:spacing w:val="-8"/>
                <w:sz w:val="20"/>
                <w:szCs w:val="20"/>
                <w:highlight w:val="none"/>
                <w:lang w:eastAsia="zh-CN"/>
              </w:rPr>
              <w:t>承诺</w:t>
            </w:r>
            <w:r>
              <w:rPr>
                <w:rFonts w:hint="eastAsia" w:ascii="宋体" w:hAnsi="宋体" w:eastAsia="宋体" w:cs="宋体"/>
                <w:spacing w:val="-8"/>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
                <w:sz w:val="20"/>
                <w:szCs w:val="20"/>
                <w:highlight w:val="none"/>
                <w:u w:val="single" w:color="auto"/>
                <w:lang w:val="en-US" w:eastAsia="zh-CN"/>
              </w:rPr>
              <w:t xml:space="preserve">             </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z w:val="20"/>
                <w:szCs w:val="20"/>
                <w:highlight w:val="none"/>
                <w:u w:val="single" w:color="auto"/>
                <w:lang w:val="en-US" w:eastAsia="zh-CN"/>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z w:val="20"/>
                <w:szCs w:val="20"/>
                <w:highlight w:val="none"/>
                <w:u w:val="single" w:color="auto"/>
                <w:lang w:val="en-US" w:eastAsia="zh-CN"/>
              </w:rPr>
              <w:t xml:space="preserve">          </w:t>
            </w:r>
            <w:r>
              <w:rPr>
                <w:rFonts w:hint="eastAsia" w:ascii="宋体" w:hAnsi="宋体" w:eastAsia="宋体" w:cs="宋体"/>
                <w:sz w:val="20"/>
                <w:szCs w:val="20"/>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0"/>
                <w:szCs w:val="20"/>
                <w:highlight w:val="none"/>
              </w:rPr>
            </w:pP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
                <w:sz w:val="20"/>
                <w:szCs w:val="20"/>
                <w:highlight w:val="none"/>
                <w:u w:val="single" w:color="auto"/>
                <w:lang w:val="en-US" w:eastAsia="zh-CN"/>
              </w:rPr>
              <w:t xml:space="preserve">              </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z w:val="20"/>
                <w:szCs w:val="20"/>
                <w:highlight w:val="none"/>
                <w:u w:val="single" w:color="auto"/>
                <w:lang w:val="en-US" w:eastAsia="zh-CN"/>
              </w:rPr>
              <w:t xml:space="preserve">                     </w:t>
            </w:r>
            <w:r>
              <w:rPr>
                <w:rFonts w:hint="eastAsia" w:ascii="宋体" w:hAnsi="宋体" w:eastAsia="宋体" w:cs="宋体"/>
                <w:sz w:val="20"/>
                <w:szCs w:val="20"/>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pacing w:val="4"/>
                <w:sz w:val="20"/>
                <w:szCs w:val="20"/>
                <w:highlight w:val="none"/>
              </w:rPr>
            </w:pPr>
            <w:r>
              <w:rPr>
                <w:rFonts w:hint="eastAsia" w:ascii="宋体" w:hAnsi="宋体" w:eastAsia="宋体" w:cs="宋体"/>
                <w:spacing w:val="5"/>
                <w:sz w:val="20"/>
                <w:szCs w:val="20"/>
                <w:highlight w:val="none"/>
              </w:rPr>
              <w:t>（请抄写</w:t>
            </w:r>
            <w:r>
              <w:rPr>
                <w:rFonts w:hint="eastAsia" w:ascii="宋体" w:hAnsi="宋体" w:eastAsia="宋体" w:cs="宋体"/>
                <w:spacing w:val="-21"/>
                <w:sz w:val="20"/>
                <w:szCs w:val="20"/>
                <w:highlight w:val="none"/>
              </w:rPr>
              <w:t xml:space="preserve"> </w:t>
            </w:r>
            <w:r>
              <w:rPr>
                <w:rFonts w:hint="eastAsia" w:ascii="宋体" w:hAnsi="宋体" w:eastAsia="宋体" w:cs="宋体"/>
                <w:spacing w:val="5"/>
                <w:sz w:val="20"/>
                <w:szCs w:val="20"/>
                <w:highlight w:val="none"/>
              </w:rPr>
              <w:t>：本公司所填报信息及相关材料均真实有效</w:t>
            </w:r>
            <w:r>
              <w:rPr>
                <w:rFonts w:hint="eastAsia" w:ascii="宋体" w:hAnsi="宋体" w:eastAsia="宋体" w:cs="宋体"/>
                <w:spacing w:val="-20"/>
                <w:sz w:val="20"/>
                <w:szCs w:val="20"/>
                <w:highlight w:val="none"/>
              </w:rPr>
              <w:t xml:space="preserve"> </w:t>
            </w:r>
            <w:r>
              <w:rPr>
                <w:rFonts w:hint="eastAsia" w:ascii="宋体" w:hAnsi="宋体" w:eastAsia="宋体" w:cs="宋体"/>
                <w:spacing w:val="5"/>
                <w:sz w:val="20"/>
                <w:szCs w:val="20"/>
                <w:highlight w:val="none"/>
              </w:rPr>
              <w:t>，如有虚假</w:t>
            </w:r>
            <w:r>
              <w:rPr>
                <w:rFonts w:hint="eastAsia" w:ascii="宋体" w:hAnsi="宋体" w:eastAsia="宋体" w:cs="宋体"/>
                <w:spacing w:val="-22"/>
                <w:sz w:val="20"/>
                <w:szCs w:val="20"/>
                <w:highlight w:val="none"/>
              </w:rPr>
              <w:t xml:space="preserve"> </w:t>
            </w:r>
            <w:r>
              <w:rPr>
                <w:rFonts w:hint="eastAsia" w:ascii="宋体" w:hAnsi="宋体" w:eastAsia="宋体" w:cs="宋体"/>
                <w:spacing w:val="4"/>
                <w:sz w:val="20"/>
                <w:szCs w:val="20"/>
                <w:highlight w:val="none"/>
              </w:rPr>
              <w:t>，愿接受失信联合惩戒。）</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pacing w:val="4"/>
                <w:sz w:val="20"/>
                <w:szCs w:val="20"/>
                <w:highlight w:val="none"/>
                <w:lang w:eastAsia="zh-CN"/>
              </w:rPr>
            </w:pPr>
            <w:r>
              <w:rPr>
                <w:rFonts w:hint="eastAsia" w:ascii="宋体" w:hAnsi="宋体" w:eastAsia="宋体" w:cs="宋体"/>
                <w:spacing w:val="4"/>
                <w:sz w:val="20"/>
                <w:szCs w:val="20"/>
                <w:highlight w:val="none"/>
                <w:lang w:eastAsia="zh-CN"/>
              </w:rPr>
              <w:t>单位盖章：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宋体" w:cs="Times New Roman"/>
                <w:szCs w:val="24"/>
                <w:highlight w:val="none"/>
              </w:rPr>
            </w:pPr>
            <w:r>
              <w:rPr>
                <w:rFonts w:hint="eastAsia" w:ascii="宋体" w:hAnsi="宋体" w:eastAsia="宋体" w:cs="宋体"/>
                <w:spacing w:val="4"/>
                <w:sz w:val="20"/>
                <w:szCs w:val="20"/>
                <w:highlight w:val="none"/>
                <w:lang w:eastAsia="zh-CN"/>
              </w:rPr>
              <w:t>法定代表人（签字）：</w:t>
            </w:r>
            <w:r>
              <w:rPr>
                <w:rFonts w:hint="eastAsia" w:ascii="宋体" w:hAnsi="宋体" w:eastAsia="宋体" w:cs="宋体"/>
                <w:spacing w:val="4"/>
                <w:sz w:val="20"/>
                <w:szCs w:val="20"/>
                <w:highlight w:val="none"/>
                <w:lang w:val="en-US" w:eastAsia="zh-CN"/>
              </w:rPr>
              <w:t xml:space="preserve">                              申请日期：</w:t>
            </w:r>
          </w:p>
        </w:tc>
      </w:tr>
    </w:tbl>
    <w:p>
      <w:pPr>
        <w:rPr>
          <w:rFonts w:ascii="Times New Roman" w:hAnsi="Times New Roman"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NjFiNDUzZDZkZjUzODQ2OWY2YzA1NzAxZGM0YTkifQ=="/>
    <w:docVar w:name="KSO_WPS_MARK_KEY" w:val="3836df8b-5d04-4d8c-b848-cf9e5b9beeee"/>
  </w:docVars>
  <w:rsids>
    <w:rsidRoot w:val="4A6105CC"/>
    <w:rsid w:val="4A610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aaa</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2025-01-14T08:22:00Z</dcterms:created>
  <dc:creator>…┫謎┣…</dc:creator>
  <cp:lastModifiedBy>…┫謎┣…</cp:lastModifiedBy>
  <dcterms:modified xsi:type="dcterms:W3CDTF">2025-01-14T08:22:36Z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EF7608ACD0A040679E2670A130022F79_11</vt:lpwstr>
  </property>
</Properties>
</file>