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390C9">
      <w:pPr>
        <w:jc w:val="center"/>
        <w:rPr>
          <w:rFonts w:hint="eastAsia" w:ascii="宋体" w:hAnsi="宋体"/>
          <w:b/>
          <w:sz w:val="36"/>
          <w:szCs w:val="36"/>
        </w:rPr>
      </w:pPr>
      <w:r>
        <w:rPr>
          <w:rFonts w:hint="eastAsia" w:ascii="宋体" w:hAnsi="宋体"/>
          <w:b/>
          <w:sz w:val="36"/>
          <w:szCs w:val="36"/>
        </w:rPr>
        <w:t>淮北市人事考试中心2022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32EF27D8">
      <w:pPr>
        <w:jc w:val="center"/>
        <w:rPr>
          <w:rFonts w:hint="eastAsia" w:ascii="楷体_GB2312" w:eastAsia="楷体_GB2312"/>
          <w:szCs w:val="32"/>
        </w:rPr>
      </w:pPr>
    </w:p>
    <w:p w14:paraId="3E4964ED">
      <w:pPr>
        <w:rPr>
          <w:rFonts w:hint="eastAsia" w:ascii="黑体" w:hAnsi="黑体" w:eastAsia="黑体"/>
          <w:szCs w:val="32"/>
        </w:rPr>
      </w:pPr>
      <w:r>
        <w:rPr>
          <w:rFonts w:hint="eastAsia" w:ascii="黑体" w:hAnsi="黑体" w:eastAsia="黑体"/>
          <w:szCs w:val="32"/>
        </w:rPr>
        <w:t xml:space="preserve">    一、2022年度一般公共预算财政拨款“三公”经费支出决算表</w:t>
      </w:r>
    </w:p>
    <w:p w14:paraId="026365E2">
      <w:pPr>
        <w:ind w:firstLine="7353" w:firstLineChars="2298"/>
        <w:rPr>
          <w:rFonts w:hint="eastAsia"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1A45C327">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12C7A300">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79C9071C">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404A69BA">
            <w:pPr>
              <w:widowControl/>
              <w:jc w:val="center"/>
              <w:rPr>
                <w:rFonts w:ascii="宋体" w:hAnsi="宋体" w:cs="宋体"/>
                <w:b/>
                <w:bCs/>
                <w:kern w:val="0"/>
                <w:szCs w:val="21"/>
              </w:rPr>
            </w:pPr>
            <w:r>
              <w:rPr>
                <w:rFonts w:hint="eastAsia" w:ascii="宋体" w:hAnsi="宋体" w:cs="宋体"/>
                <w:b/>
                <w:bCs/>
                <w:kern w:val="0"/>
                <w:szCs w:val="21"/>
              </w:rPr>
              <w:t>决 算 数</w:t>
            </w:r>
          </w:p>
        </w:tc>
      </w:tr>
      <w:tr w14:paraId="122E91E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F7FA67B">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32F0A1A5">
            <w:pPr>
              <w:widowControl/>
              <w:jc w:val="center"/>
              <w:rPr>
                <w:rFonts w:ascii="宋体" w:hAnsi="宋体" w:cs="宋体"/>
                <w:b/>
                <w:bCs/>
                <w:kern w:val="0"/>
                <w:szCs w:val="21"/>
              </w:rPr>
            </w:pPr>
            <w:r>
              <w:rPr>
                <w:rFonts w:hint="eastAsia" w:ascii="宋体" w:hAnsi="宋体" w:cs="宋体"/>
                <w:b/>
                <w:bCs/>
                <w:kern w:val="0"/>
                <w:szCs w:val="21"/>
              </w:rPr>
              <w:t>5.5　</w:t>
            </w:r>
          </w:p>
        </w:tc>
        <w:tc>
          <w:tcPr>
            <w:tcW w:w="2220" w:type="dxa"/>
            <w:tcBorders>
              <w:top w:val="nil"/>
              <w:left w:val="nil"/>
              <w:bottom w:val="single" w:color="auto" w:sz="4" w:space="0"/>
              <w:right w:val="single" w:color="auto" w:sz="4" w:space="0"/>
            </w:tcBorders>
            <w:vAlign w:val="center"/>
          </w:tcPr>
          <w:p w14:paraId="1EE86A12">
            <w:pPr>
              <w:widowControl/>
              <w:jc w:val="center"/>
              <w:rPr>
                <w:rFonts w:ascii="宋体" w:hAnsi="宋体" w:cs="宋体"/>
                <w:b/>
                <w:bCs/>
                <w:kern w:val="0"/>
                <w:szCs w:val="21"/>
              </w:rPr>
            </w:pPr>
            <w:r>
              <w:rPr>
                <w:rFonts w:hint="eastAsia" w:ascii="宋体" w:hAnsi="宋体" w:cs="宋体"/>
                <w:b/>
                <w:bCs/>
                <w:kern w:val="0"/>
                <w:szCs w:val="21"/>
              </w:rPr>
              <w:t>2.62　</w:t>
            </w:r>
          </w:p>
        </w:tc>
      </w:tr>
      <w:tr w14:paraId="5670436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BEBE70E">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19B56739">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31C7ABA6">
            <w:pPr>
              <w:widowControl/>
              <w:jc w:val="left"/>
              <w:rPr>
                <w:rFonts w:ascii="宋体" w:hAnsi="宋体" w:cs="宋体"/>
                <w:kern w:val="0"/>
                <w:szCs w:val="21"/>
              </w:rPr>
            </w:pPr>
            <w:r>
              <w:rPr>
                <w:rFonts w:hint="eastAsia" w:ascii="宋体" w:hAnsi="宋体" w:cs="宋体"/>
                <w:kern w:val="0"/>
                <w:szCs w:val="21"/>
              </w:rPr>
              <w:t>　</w:t>
            </w:r>
          </w:p>
        </w:tc>
      </w:tr>
      <w:tr w14:paraId="0379308E">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04DF806">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530DB233">
            <w:pPr>
              <w:widowControl/>
              <w:jc w:val="left"/>
              <w:rPr>
                <w:rFonts w:ascii="宋体" w:hAnsi="宋体" w:cs="宋体"/>
                <w:kern w:val="0"/>
                <w:szCs w:val="21"/>
              </w:rPr>
            </w:pPr>
            <w:r>
              <w:rPr>
                <w:rFonts w:hint="eastAsia" w:ascii="宋体" w:hAnsi="宋体" w:cs="宋体"/>
                <w:kern w:val="0"/>
                <w:szCs w:val="21"/>
              </w:rPr>
              <w:t>　1.5</w:t>
            </w:r>
          </w:p>
        </w:tc>
        <w:tc>
          <w:tcPr>
            <w:tcW w:w="2220" w:type="dxa"/>
            <w:tcBorders>
              <w:top w:val="nil"/>
              <w:left w:val="nil"/>
              <w:bottom w:val="single" w:color="auto" w:sz="4" w:space="0"/>
              <w:right w:val="single" w:color="auto" w:sz="4" w:space="0"/>
            </w:tcBorders>
            <w:vAlign w:val="bottom"/>
          </w:tcPr>
          <w:p w14:paraId="7E4ED6AC">
            <w:pPr>
              <w:widowControl/>
              <w:jc w:val="left"/>
              <w:rPr>
                <w:rFonts w:ascii="宋体" w:hAnsi="宋体" w:cs="宋体"/>
                <w:kern w:val="0"/>
                <w:szCs w:val="21"/>
              </w:rPr>
            </w:pPr>
            <w:r>
              <w:rPr>
                <w:rFonts w:hint="eastAsia" w:ascii="宋体" w:hAnsi="宋体" w:cs="宋体"/>
                <w:kern w:val="0"/>
                <w:szCs w:val="21"/>
              </w:rPr>
              <w:t>　1.5</w:t>
            </w:r>
          </w:p>
        </w:tc>
      </w:tr>
      <w:tr w14:paraId="285BAA8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8357232">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0351B22E">
            <w:pPr>
              <w:widowControl/>
              <w:jc w:val="left"/>
              <w:rPr>
                <w:rFonts w:ascii="宋体" w:hAnsi="宋体" w:cs="宋体"/>
                <w:kern w:val="0"/>
                <w:szCs w:val="21"/>
              </w:rPr>
            </w:pPr>
            <w:r>
              <w:rPr>
                <w:rFonts w:hint="eastAsia" w:ascii="宋体" w:hAnsi="宋体" w:cs="宋体"/>
                <w:kern w:val="0"/>
                <w:szCs w:val="21"/>
              </w:rPr>
              <w:t>　4</w:t>
            </w:r>
          </w:p>
        </w:tc>
        <w:tc>
          <w:tcPr>
            <w:tcW w:w="2220" w:type="dxa"/>
            <w:tcBorders>
              <w:top w:val="nil"/>
              <w:left w:val="nil"/>
              <w:bottom w:val="single" w:color="auto" w:sz="4" w:space="0"/>
              <w:right w:val="single" w:color="auto" w:sz="4" w:space="0"/>
            </w:tcBorders>
            <w:vAlign w:val="bottom"/>
          </w:tcPr>
          <w:p w14:paraId="5C54C8C5">
            <w:pPr>
              <w:widowControl/>
              <w:jc w:val="left"/>
              <w:rPr>
                <w:rFonts w:ascii="宋体" w:hAnsi="宋体" w:cs="宋体"/>
                <w:kern w:val="0"/>
                <w:szCs w:val="21"/>
              </w:rPr>
            </w:pPr>
            <w:r>
              <w:rPr>
                <w:rFonts w:hint="eastAsia" w:ascii="宋体" w:hAnsi="宋体" w:cs="宋体"/>
                <w:kern w:val="0"/>
                <w:szCs w:val="21"/>
              </w:rPr>
              <w:t>　1.12</w:t>
            </w:r>
          </w:p>
        </w:tc>
      </w:tr>
      <w:tr w14:paraId="769CF47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9000F39">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vAlign w:val="bottom"/>
          </w:tcPr>
          <w:p w14:paraId="49E609A9">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3733A850">
            <w:pPr>
              <w:widowControl/>
              <w:jc w:val="left"/>
              <w:rPr>
                <w:rFonts w:ascii="宋体" w:hAnsi="宋体" w:cs="宋体"/>
                <w:kern w:val="0"/>
                <w:szCs w:val="21"/>
              </w:rPr>
            </w:pPr>
            <w:r>
              <w:rPr>
                <w:rFonts w:hint="eastAsia" w:ascii="宋体" w:hAnsi="宋体" w:cs="宋体"/>
                <w:kern w:val="0"/>
                <w:szCs w:val="21"/>
              </w:rPr>
              <w:t>　</w:t>
            </w:r>
          </w:p>
        </w:tc>
      </w:tr>
      <w:tr w14:paraId="5484640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BAA11A6">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vAlign w:val="bottom"/>
          </w:tcPr>
          <w:p w14:paraId="758C1397">
            <w:pPr>
              <w:widowControl/>
              <w:jc w:val="left"/>
              <w:rPr>
                <w:rFonts w:ascii="宋体" w:hAnsi="宋体" w:cs="宋体"/>
                <w:kern w:val="0"/>
                <w:szCs w:val="21"/>
              </w:rPr>
            </w:pPr>
            <w:r>
              <w:rPr>
                <w:rFonts w:hint="eastAsia" w:ascii="宋体" w:hAnsi="宋体" w:cs="宋体"/>
                <w:kern w:val="0"/>
                <w:szCs w:val="21"/>
              </w:rPr>
              <w:t>　4</w:t>
            </w:r>
          </w:p>
        </w:tc>
        <w:tc>
          <w:tcPr>
            <w:tcW w:w="2220" w:type="dxa"/>
            <w:tcBorders>
              <w:top w:val="nil"/>
              <w:left w:val="nil"/>
              <w:bottom w:val="single" w:color="auto" w:sz="4" w:space="0"/>
              <w:right w:val="single" w:color="auto" w:sz="4" w:space="0"/>
            </w:tcBorders>
            <w:vAlign w:val="bottom"/>
          </w:tcPr>
          <w:p w14:paraId="52273CC0">
            <w:pPr>
              <w:widowControl/>
              <w:jc w:val="left"/>
              <w:rPr>
                <w:rFonts w:ascii="宋体" w:hAnsi="宋体" w:cs="宋体"/>
                <w:kern w:val="0"/>
                <w:szCs w:val="21"/>
              </w:rPr>
            </w:pPr>
            <w:r>
              <w:rPr>
                <w:rFonts w:hint="eastAsia" w:ascii="宋体" w:hAnsi="宋体" w:cs="宋体"/>
                <w:kern w:val="0"/>
                <w:szCs w:val="21"/>
              </w:rPr>
              <w:t>　1.12</w:t>
            </w:r>
          </w:p>
        </w:tc>
      </w:tr>
    </w:tbl>
    <w:p w14:paraId="40C20E87">
      <w:pPr>
        <w:spacing w:line="300" w:lineRule="exact"/>
        <w:rPr>
          <w:rFonts w:hint="eastAsia" w:ascii="仿宋_GB2312" w:hAnsi="仿宋"/>
          <w:sz w:val="21"/>
          <w:szCs w:val="21"/>
        </w:rPr>
      </w:pPr>
    </w:p>
    <w:p w14:paraId="48D3E3A3">
      <w:pPr>
        <w:spacing w:line="300" w:lineRule="exact"/>
        <w:rPr>
          <w:rFonts w:hint="eastAsia" w:ascii="黑体" w:hAnsi="黑体" w:eastAsia="黑体"/>
          <w:szCs w:val="32"/>
        </w:rPr>
      </w:pPr>
      <w:r>
        <w:rPr>
          <w:rFonts w:hint="eastAsia" w:ascii="仿宋_GB2312" w:hAnsi="仿宋"/>
          <w:sz w:val="21"/>
          <w:szCs w:val="21"/>
        </w:rPr>
        <w:t xml:space="preserve">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14:paraId="78F93E61">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1B216B8D">
      <w:pPr>
        <w:ind w:firstLine="643"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17FBE9E6">
      <w:pPr>
        <w:ind w:firstLine="640" w:firstLineChars="200"/>
        <w:rPr>
          <w:rFonts w:hint="eastAsia" w:ascii="楷体_GB2312" w:hAnsi="仿宋"/>
          <w:szCs w:val="32"/>
        </w:rPr>
      </w:pPr>
      <w:r>
        <w:rPr>
          <w:rFonts w:hint="eastAsia" w:ascii="仿宋_GB2312" w:hAnsi="仿宋"/>
          <w:szCs w:val="32"/>
        </w:rPr>
        <w:t>淮北市人事考试中心2022年度一般公共预算财政拨款“三公”经费支出预算为5.5万元，支出决算为2.62万元，完成预算的47.64%，较上年减少1.46万元，下降35.78%。决算数小于预算数的主要原因是受疫情影响，出差频次减少，公车运行维护费用降低。决算数较上年减少的主要原因是受疫情影响，出差频次减少，公车运行维护费用降低。</w:t>
      </w:r>
    </w:p>
    <w:p w14:paraId="2FDEEBA6">
      <w:pPr>
        <w:ind w:firstLine="643"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4077E877">
      <w:pPr>
        <w:ind w:firstLine="640" w:firstLineChars="200"/>
        <w:rPr>
          <w:rFonts w:hint="eastAsia" w:ascii="仿宋_GB2312" w:hAnsi="仿宋"/>
          <w:szCs w:val="32"/>
        </w:rPr>
      </w:pPr>
      <w:r>
        <w:rPr>
          <w:rFonts w:hint="eastAsia" w:ascii="仿宋_GB2312" w:hAnsi="仿宋"/>
          <w:szCs w:val="32"/>
        </w:rPr>
        <w:t>淮北市人事考试中心2022年度一般公共预算财政拨款“三公”经费支出决算中，因公出国（境）费支出决算0万元，占0%;公务接待费支出决算1.5万元，占57.25%；公务用车购置及运行维护费支出决算1.12万元，占42.75%。具体情况如下：</w:t>
      </w:r>
    </w:p>
    <w:p w14:paraId="39FC30D9">
      <w:pPr>
        <w:ind w:firstLine="643" w:firstLineChars="200"/>
        <w:rPr>
          <w:rFonts w:hint="eastAsia" w:ascii="仿宋_GB2312" w:hAnsi="仿宋"/>
          <w:szCs w:val="32"/>
        </w:rPr>
      </w:pPr>
      <w:r>
        <w:rPr>
          <w:rFonts w:hint="eastAsia" w:ascii="仿宋_GB2312" w:hAnsi="仿宋"/>
          <w:b/>
          <w:bCs/>
          <w:szCs w:val="32"/>
        </w:rPr>
        <w:t>1.因公出国（境）费</w:t>
      </w:r>
      <w:r>
        <w:rPr>
          <w:rFonts w:hint="eastAsia" w:ascii="仿宋_GB2312" w:hAnsi="仿宋"/>
          <w:szCs w:val="32"/>
        </w:rPr>
        <w:t>预算为0万元，支出决算为0万元，完成预算的100%，决算数与预算数相同；较上年减少0万元，下降0%。原因是2021年度、2022年度均未安排因公出国（境）计划。故2022年淮北市人事考试中心因公出国（境）团组0次，累计出国（境）0人次。</w:t>
      </w:r>
    </w:p>
    <w:p w14:paraId="1713C03E">
      <w:pPr>
        <w:ind w:firstLine="643"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szCs w:val="32"/>
        </w:rPr>
        <w:t>预算为1.5万元，支出决算为1.5万元，完成预算的100%，决算数与预算数相同；较上年增加0.59万元，下降64.83%。决算数较上年增加的主要原因是2022年各类考试次数增加。2022年淮北市人事考试中心国内公务接待共15批次（其中外事接待0批次），105人次（其中外事接待0人次）。主要是用于组织各类考试加班就餐。经费使用贯彻</w:t>
      </w:r>
      <w:r>
        <w:rPr>
          <w:rFonts w:hint="eastAsia" w:ascii="仿宋_GB2312" w:hAnsi="仿宋"/>
          <w:szCs w:val="32"/>
          <w:lang w:val="en-US" w:eastAsia="zh-CN"/>
        </w:rPr>
        <w:t>落实</w:t>
      </w:r>
      <w:r>
        <w:rPr>
          <w:rFonts w:hint="eastAsia" w:ascii="仿宋_GB2312" w:hAnsi="仿宋"/>
          <w:szCs w:val="32"/>
        </w:rPr>
        <w:t>中央八项规定精神和市委实施细则，严格执行《关于印发&lt;淮北市市直单位接待经费管理暂行办法&gt;的通知》（财行〔2013〕133号）、《淮北</w:t>
      </w:r>
      <w:bookmarkStart w:id="0" w:name="_GoBack"/>
      <w:bookmarkEnd w:id="0"/>
      <w:r>
        <w:rPr>
          <w:rFonts w:hint="eastAsia" w:ascii="仿宋_GB2312" w:hAnsi="仿宋"/>
          <w:szCs w:val="32"/>
        </w:rPr>
        <w:t>市财政局淮北市机关事务管理中心关于调整市直机关公务接待费用餐标准的通知》（财行〔2021〕85号）等相关规定。</w:t>
      </w:r>
    </w:p>
    <w:p w14:paraId="04E1E59B">
      <w:pPr>
        <w:ind w:firstLine="643" w:firstLineChars="200"/>
        <w:rPr>
          <w:rFonts w:hint="eastAsia" w:ascii="仿宋_GB2312"/>
        </w:rPr>
      </w:pPr>
      <w:r>
        <w:rPr>
          <w:rFonts w:hint="eastAsia" w:ascii="仿宋_GB2312" w:hAnsi="仿宋"/>
          <w:b/>
          <w:bCs/>
          <w:szCs w:val="32"/>
        </w:rPr>
        <w:t>3.公务用车购置及运行维护费</w:t>
      </w:r>
      <w:r>
        <w:rPr>
          <w:rFonts w:hint="eastAsia" w:ascii="仿宋_GB2312" w:hAnsi="仿宋"/>
          <w:szCs w:val="32"/>
        </w:rPr>
        <w:t>预算为4万元，支出决算为  1.12万元，完成预算的28%；较上年减少2.05万元，下降64.67%。决算数小于预算数的主要原因是受疫情影响出差频次减少。决算数较上年减少的主要原因是受疫情影响出差频次减少。其中，公务用车购置费预算为0万元，支出决算为0万元，完成预算的100%，决算数与预算数相同；较上年减少0万元，下降0%。原因是2021年、2022年没有安排公务用车购置费。公务用车运行维护费预算为4万元，支出决算为1.12万元，完成预算的28%；较上年减少2.05万元，下降64.67%。决算数小于预算数的主要原因是受疫情影响出差频次减少。决算数较上年减少的主要原因是受疫情影响出差频次减少。公务用车运行维护费，包括车辆燃料费、维修费、过路过桥费、保险费等支出，主要用于出差接送考试试卷。截至2022年12月31日，淮北市人事考试中心开支财政拨款的公务用车保有量为1辆。</w:t>
      </w:r>
    </w:p>
    <w:p w14:paraId="6FE656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6D6D"/>
    <w:rsid w:val="00886D6D"/>
    <w:rsid w:val="00B94176"/>
    <w:rsid w:val="00BF21E0"/>
    <w:rsid w:val="308A3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1287</Words>
  <Characters>1442</Characters>
  <Lines>11</Lines>
  <Paragraphs>3</Paragraphs>
  <TotalTime>0</TotalTime>
  <ScaleCrop>false</ScaleCrop>
  <LinksUpToDate>false</LinksUpToDate>
  <CharactersWithSpaces>1521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2023-09-26T09:07:00Z</dcterms:created>
  <dc:creator>李鸣</dc:creator>
  <cp:lastModifiedBy>潇湘夜雨</cp:lastModifiedBy>
  <dcterms:modified xsi:type="dcterms:W3CDTF">2025-08-15T07:24:38Z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eyJoZGlkIjoiMDRiM2RjYzBkNmY5MjQ1YzUyOWJmZTRmODlmN2JmZDciLCJ1c2VySWQiOiI0MzE5NzU2NDIifQ==</vt:lpwstr>
  </property>
  <property fmtid="{D5CDD505-2E9C-101B-9397-08002B2CF9AE}" pid="3" name="KSOProductBuildVer">
    <vt:lpwstr>2052-12.1.0.21915</vt:lpwstr>
  </property>
  <property fmtid="{D5CDD505-2E9C-101B-9397-08002B2CF9AE}" pid="4" name="ICV">
    <vt:lpwstr>A8319B9D3E864BC58BCF4D804275D848_12</vt:lpwstr>
  </property>
</Properties>
</file>