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淮北市劳动人事争议仲裁院2025年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560" w:lineRule="exact"/>
        <w:jc w:val="center"/>
        <w:rPr>
          <w:rFonts w:ascii="TimesNewRoman" w:hAnsi="TimesNewRoman" w:eastAsia="黑体" w:cs="TimesNewRoman"/>
          <w:bCs/>
          <w:color w:val="000000" w:themeColor="text1"/>
          <w:sz w:val="44"/>
          <w:szCs w:val="44"/>
        </w:rPr>
      </w:pPr>
      <w:r>
        <w:rPr>
          <w:rFonts w:hint="eastAsia" w:ascii="TimesNewRoman" w:hAnsi="TimesNewRoman" w:eastAsia="黑体" w:cs="TimesNewRoman"/>
          <w:bCs/>
          <w:color w:val="000000" w:themeColor="text1"/>
          <w:sz w:val="44"/>
          <w:szCs w:val="44"/>
        </w:rPr>
        <w:t>2025年2月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第一部分单位概况</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2025年单位预算表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1、淮北市劳动人事争议仲裁院2025年收支总表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2、淮北市劳动人事争议仲裁院2025年收入总表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3、淮北市劳动人事争议仲裁院2025年支出总表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4、淮北市劳动人事争议仲裁院2025年财政拨款收支总表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5、淮北市劳动人事争议仲裁院2025年一般公共预算支出表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6、淮北市劳动人事争议仲裁院2025年一般公共预算基本支出表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7、淮北市劳动人事争议仲裁院2025年政府性基金预算支出表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8、淮北市劳动人事争议仲裁院2025年国有资本经营预算支出表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9、淮北市劳动人事争议仲裁院2025年项目支出表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10、淮北市劳动人事争议仲裁院2025年政府采购支出表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11、淮北市劳动人事争议仲裁院2025年政府购买服务支出表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12、淮北市劳动人事争议仲裁院</w:t>
      </w:r>
      <w:r>
        <w:rPr>
          <w:rFonts w:ascii="TimesNewRoman" w:hAnsi="TimesNewRoman" w:eastAsia="仿宋_GB2312" w:cs="TimesNewRoman"/>
          <w:bCs/>
          <w:sz w:val="32"/>
          <w:szCs w:val="32"/>
        </w:rPr>
        <w:t>2025年通用资产配置支出表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2025年单位预算情况说明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pPr>
        <w:pStyle w:val="4"/>
        <w:adjustRightInd w:val="0"/>
        <w:snapToGrid w:val="0"/>
        <w:spacing w:line="560" w:lineRule="exact"/>
        <w:ind w:firstLine="800" w:firstLineChars="250"/>
        <w:rPr>
          <w:rFonts w:ascii="TimesNewRoman" w:hAnsi="TimesNewRoman" w:eastAsia="黑体" w:cs="TimesNewRoman"/>
          <w:sz w:val="32"/>
          <w:szCs w:val="32"/>
        </w:rPr>
      </w:pPr>
      <w:r>
        <w:rPr>
          <w:rFonts w:hint="eastAsia" w:ascii="TimesNewRoman" w:hAnsi="TimesNewRoman" w:eastAsia="仿宋_GB2312" w:cs="TimesNewRoman"/>
          <w:bCs/>
          <w:sz w:val="32"/>
          <w:szCs w:val="32"/>
        </w:rPr>
        <w:t>12、</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13、其他重要事项情况说明</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1、淮北市劳动人事争议仲裁院2025年部门预算纳入绩效考评项目表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2、淮北市劳动人事争议仲裁院2025年部门预算专项资金管理清单（专栏公开）</w:t>
      </w: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贯彻执行国家、省、市人力资源和社会保障法律法规，负责处理市级管辖范围内的劳动人事争议案件；负责劳动人事争议法律、法规、政策咨询；负责对县、区劳动人事争议案件处理的业务指导；负责管理市级劳动人事争议仲裁案件的信息统计等；负责劳动保障维权投诉相关工作；依法调处劳动保障矛盾纠纷，组织处理有关突发事件等执法辅助性事务性工作；负责开展劳动保障书面审查和诚信等级评价，负责开展农民工工资支付保障具体事务性工作；负责对县区、开发园区开展劳动保障维权工作的业务指导。</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sz w:val="32"/>
          <w:szCs w:val="32"/>
        </w:rPr>
        <w:t>2025年度部门预算仅包括本级预算，无其他下属单位预算。</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pPr>
        <w:ind w:firstLine="640" w:firstLineChars="200"/>
        <w:rPr>
          <w:rFonts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（一）加强系统行风建设，规范咨询、举报接待、仲裁申请等处置流程和行为，妥善处理市级管辖范围内的劳动人事争议案件；</w:t>
      </w:r>
    </w:p>
    <w:p>
      <w:pPr>
        <w:ind w:firstLine="640" w:firstLineChars="200"/>
        <w:rPr>
          <w:rFonts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（二）加强对基层劳动保障维权工作的指导，处理劳动保障维权投诉相关工作，依法调处劳动保障矛盾纠纷，组织处理有关突发事件等执法辅助性事务性工作；</w:t>
      </w:r>
    </w:p>
    <w:p>
      <w:pPr>
        <w:ind w:firstLine="640" w:firstLineChars="200"/>
        <w:rPr>
          <w:rFonts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（三）持续开展“流动仲裁庭”及“百名仲裁员服务千家企业活动”，降低劳动争议双方维权成本；</w:t>
      </w:r>
    </w:p>
    <w:p>
      <w:pPr>
        <w:ind w:firstLine="640" w:firstLineChars="200"/>
        <w:rPr>
          <w:rFonts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（四）开展劳动保障书面审查和诚信等级评价；</w:t>
      </w:r>
    </w:p>
    <w:p>
      <w:pPr>
        <w:ind w:firstLine="640" w:firstLineChars="200"/>
        <w:rPr>
          <w:rFonts w:ascii="TimesNewRoman" w:hAnsi="TimesNewRoman" w:eastAsia="仿宋_GB2312" w:cs="TimesNewRoman"/>
          <w:bCs/>
          <w:kern w:val="0"/>
          <w:sz w:val="32"/>
          <w:szCs w:val="32"/>
        </w:rPr>
      </w:pPr>
      <w:r>
        <w:rPr>
          <w:rFonts w:hint="eastAsia" w:ascii="TimesNewRoman" w:hAnsi="TimesNewRoman" w:eastAsia="仿宋_GB2312" w:cs="TimesNewRoman"/>
          <w:bCs/>
          <w:kern w:val="0"/>
          <w:sz w:val="32"/>
          <w:szCs w:val="32"/>
        </w:rPr>
        <w:t>（五）开展农民工工资支付保障具体事务性工作。</w:t>
      </w:r>
    </w:p>
    <w:p>
      <w:pPr>
        <w:rPr>
          <w:rFonts w:ascii="TimesNewRoman" w:hAnsi="TimesNewRoman" w:eastAsia="仿宋_GB2312" w:cs="TimesNewRoman"/>
          <w:bCs/>
          <w:kern w:val="0"/>
          <w:sz w:val="32"/>
          <w:szCs w:val="32"/>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2025年单位预算表</w:t>
      </w:r>
    </w:p>
    <w:p>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2025年单位预算情况说明</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sz w:val="32"/>
          <w:szCs w:val="32"/>
        </w:rPr>
        <w:t>所有收入和支出均纳入单位预算管理。</w:t>
      </w: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sz w:val="32"/>
          <w:szCs w:val="32"/>
        </w:rPr>
        <w:t>2025年收支总预算330.43万元，</w:t>
      </w:r>
      <w:r>
        <w:rPr>
          <w:rFonts w:hint="eastAsia" w:ascii="TimesNewRoman" w:hAnsi="TimesNewRoman" w:eastAsia="楷体_GB2312" w:cs="TimesNewRoman"/>
          <w:color w:val="000000" w:themeColor="text1"/>
          <w:sz w:val="32"/>
          <w:szCs w:val="32"/>
        </w:rPr>
        <w:t>收</w:t>
      </w:r>
      <w:r>
        <w:rPr>
          <w:rFonts w:hint="eastAsia" w:ascii="TimesNewRoman" w:hAnsi="TimesNewRoman" w:eastAsia="仿宋_GB2312" w:cs="TimesNewRoman"/>
          <w:bCs/>
          <w:sz w:val="32"/>
          <w:szCs w:val="32"/>
        </w:rPr>
        <w:t>入全部是一般公共预算拨款收入330.43万元</w:t>
      </w:r>
      <w:r>
        <w:rPr>
          <w:rFonts w:hint="eastAsia" w:ascii="TimesNewRoman" w:hAnsi="TimesNewRoman" w:eastAsia="仿宋_GB2312" w:cs="TimesNewRoman"/>
          <w:sz w:val="32"/>
          <w:szCs w:val="32"/>
        </w:rPr>
        <w:t>，支出包括：社会保障和就业支出、卫生健康支出、住房保障支出。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kern w:val="0"/>
          <w:sz w:val="32"/>
          <w:szCs w:val="32"/>
        </w:rPr>
        <w:t>2025年收入预算330.43万元，其中，本年收入330.43万元。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（一）本年收入330.43万元，</w:t>
      </w:r>
      <w:r>
        <w:rPr>
          <w:rFonts w:hint="eastAsia" w:ascii="TimesNewRoman" w:hAnsi="TimesNewRoman" w:eastAsia="仿宋_GB2312" w:cs="TimesNewRoman"/>
          <w:kern w:val="0"/>
          <w:sz w:val="32"/>
          <w:szCs w:val="32"/>
        </w:rPr>
        <w:t>主要包括：一般公共预算拨款收入330.43万元，占100%，比2024年预算增加214.68万元，增长185.47%，原因主要是机构改革原淮北市劳动保障监察综合执法支队与我单位合并造成各项经费增加；政府性基金预算拨款收入0万元，占0%，比2024年预算增加0万元，增长0%，原因主要是淮北市劳动人事争议仲裁院</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5年均无政府性基金预算拨款收入；财政专户管理资金收入0万元，占0%，比2024年预算增加0万元，增长0%，原因主要是淮北市劳动人事争议仲裁院</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5年均无财政专户管理资金收入。</w:t>
      </w:r>
    </w:p>
    <w:p>
      <w:pPr>
        <w:ind w:firstLine="640" w:firstLineChars="200"/>
        <w:rPr>
          <w:rFonts w:ascii="TimesNewRoman" w:hAnsi="TimesNewRoman" w:eastAsia="黑体" w:cs="TimesNewRoman"/>
          <w:bCs/>
          <w:kern w:val="0"/>
          <w:sz w:val="32"/>
          <w:szCs w:val="32"/>
        </w:rPr>
      </w:pPr>
      <w:r>
        <w:rPr>
          <w:rFonts w:hint="eastAsia" w:ascii="TimesNewRoman" w:hAnsi="TimesNewRoman" w:eastAsia="黑体" w:cs="TimesNewRoman"/>
          <w:bCs/>
          <w:kern w:val="0"/>
          <w:sz w:val="32"/>
          <w:szCs w:val="32"/>
        </w:rPr>
        <w:t>三、关于2025年支出总表的说明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kern w:val="0"/>
          <w:sz w:val="32"/>
          <w:szCs w:val="32"/>
        </w:rPr>
        <w:t>2025年支出预算330.43万元，比2024年预算增加214.68万元，增长185.47%，原因主要是机构改革原淮北市劳动保障监察综合执法支队与我单位合并造成各项经费增加。其中，基本支出266.43万元，占80.63%，主要用于保障机构日常运转、完成日常工作任务；项目支出64万元，占19.37%，主要用于</w:t>
      </w:r>
      <w:r>
        <w:rPr>
          <w:rFonts w:hint="eastAsia" w:ascii="仿宋_GB2312" w:hAnsi="仿宋" w:eastAsia="仿宋_GB2312"/>
          <w:sz w:val="32"/>
          <w:szCs w:val="32"/>
        </w:rPr>
        <w:t>劳动仲裁办案经费支出、农民工工资清欠经费</w:t>
      </w:r>
      <w:r>
        <w:rPr>
          <w:rFonts w:hint="eastAsia" w:ascii="TimesNewRoman" w:hAnsi="TimesNewRoman" w:eastAsia="仿宋_GB2312" w:cs="TimesNewRoman"/>
          <w:kern w:val="0"/>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kern w:val="0"/>
          <w:sz w:val="32"/>
          <w:szCs w:val="32"/>
        </w:rPr>
        <w:t>2025年财政拨款收支预算330.43万元。收入按资金来源分为：一般公共预算拨款330.43万元、政府性基金预算拨款0万元；按资金年度分为：本年财政拨款收入330.43万元。支出按功能分类分为：社会保障和就业支出277.65万元，占84.03%；卫生健康支出11.24万元，占3.4%；住房保障支出41.54万元，占12.57%。</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kern w:val="0"/>
          <w:sz w:val="32"/>
          <w:szCs w:val="32"/>
        </w:rPr>
        <w:t>2025年一般公共预算支出330.43万元，比2024年预算增加214.68万元，增长185.47%，主要原因是机构改革原淮北市劳动保障监察综合执法支队与我单位合并造成各项经费增加。</w:t>
      </w:r>
    </w:p>
    <w:p>
      <w:pPr>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社会保障和就业支出277.65万元，占84.03%；卫生健康支出11.24万元，占3.4%；住房保障支出41.54万元，占12.57%。</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1</w:t>
      </w:r>
      <w:r>
        <w:rPr>
          <w:rFonts w:hint="eastAsia" w:ascii="TimesNewRoman" w:hAnsi="TimesNewRoman" w:eastAsia="仿宋_GB2312" w:cs="TimesNewRoman"/>
          <w:kern w:val="0"/>
          <w:sz w:val="32"/>
          <w:szCs w:val="32"/>
        </w:rPr>
        <w:t>、社会保障和就业支出（类）人力资源和社会保障管理事务（款）一般行政管理事务（项）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5年预算64万元，比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4年预算增加44万元，增长22%，原因主要是机构改革原淮北市劳动保障监察综合执法支队与我单位合并造成项目经费增加。</w:t>
      </w:r>
    </w:p>
    <w:p>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2</w:t>
      </w:r>
      <w:r>
        <w:rPr>
          <w:rFonts w:hint="eastAsia" w:ascii="TimesNewRoman" w:hAnsi="TimesNewRoman" w:eastAsia="仿宋_GB2312" w:cs="TimesNewRoman"/>
          <w:kern w:val="0"/>
          <w:sz w:val="32"/>
          <w:szCs w:val="32"/>
        </w:rPr>
        <w:t>、社会保障和就业支出（类）人力资源和社会保障管理事务（款）劳动人事争议调解仲裁（项）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5年预算173.71万元，比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4年预算增加110.18万元，增长173.43%，原因主要是机构改革原淮北市劳动保障监察综合执法支队与我单位合并造成经费增加。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3</w:t>
      </w:r>
      <w:r>
        <w:rPr>
          <w:rFonts w:hint="eastAsia" w:ascii="TimesNewRoman" w:hAnsi="TimesNewRoman" w:eastAsia="仿宋_GB2312" w:cs="TimesNewRoman"/>
          <w:kern w:val="0"/>
          <w:sz w:val="32"/>
          <w:szCs w:val="32"/>
        </w:rPr>
        <w:t>、社会保障和就业支出（类）行政事业单位养老支出（款）事业单位离退休（项）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5年预算2.78万元，比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4年预算增加2.78万元，增长100%，原因主要是新增1名退休职工。</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4、社会保障和就业支出（类）行政事业单位养老支出（款）机关事业单位基本养老保险缴费支出（项）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5年预算24.26万元，比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4年预算增加15.24万元，增长168.96%，原因主要是机构改革原淮北市劳动保障监察综合执法支队与我单位合并造成经费增加。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5、社会保障和就业支出（类）行政事业单位养老支出（款）机关事业单位职业年金缴费支出（项）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5年预算12.13万元，比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4年预算增加7.62万元，增长168.96%，原因主要是机构改革原淮北市劳动保障监察综合执法支队与我单位合并造成经费增加。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6、社会保障和就业支出（类）其他社会保障和就业支出（款）其他社会保障和就业支出（项）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5年预算0.76万元，比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4年预算增加0.45万元，增长145.16%，原因主要是机构改革原淮北市劳动保障监察综合执法支队与我单位合并造成经费增加。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7、卫生健康支出（类）行政事业单位医疗（款）事业单位医疗（项）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5年预算7.82万元，比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4年预算增加4.15万元，增长113.08%，原因主要是机构改革原淮北市劳动保障监察综合执法支队与我单位合并造成经费增加。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8、卫生健康支出（类）行政事业单位医疗（款）公务员医疗补助（项）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5年预算3.42万元，比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4年预算增加2.11万元，增长161.07%，原因主要是机构改革原淮北市劳动保障监察综合执法支队与我单位合并造成经费增加。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9、住房保障支出（类）住房改革支出（款）住房公积金（项）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5年预算24.92万元，比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4年预算增加16.87万元，增长209.57%，原因主要是机构改革原淮北市劳动保障监察综合执法支队与我单位合并造成经费增加。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10、住房保障支出（类）住房改革支出（款）提租补贴（项）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5年预算6.23万元，比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4年预算增加4.22万元，增209.95%，增长原因主要是机构改革原淮北市劳动保障监察综合执法支队与我单位合并造成经费增加。</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11、住房保障支出（类）住房改革支出（款）购房补贴（项）</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5年预算10.38万元，比</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4年预算增加7.03万元，增长209.85%，原因主要是机构改革原淮北市劳动保障监察综合执法支队与我单位合并造成经费增加。</w:t>
      </w:r>
    </w:p>
    <w:p>
      <w:pPr>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淮北市劳动人事争议仲裁院</w:t>
      </w:r>
      <w:r>
        <w:rPr>
          <w:rFonts w:hint="eastAsia" w:ascii="TimesNewRoman" w:hAnsi="TimesNewRoman" w:eastAsia="仿宋_GB2312" w:cs="TimesNewRoman"/>
          <w:kern w:val="0"/>
          <w:sz w:val="32"/>
          <w:szCs w:val="32"/>
        </w:rPr>
        <w:t>2025年一般公共预算基本支出266.43万元，其中，人员经费247.23万元，公用经费19.2万元。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（一）人员经费247.23万元，</w:t>
      </w:r>
      <w:r>
        <w:rPr>
          <w:rFonts w:hint="eastAsia" w:ascii="TimesNewRoman" w:hAnsi="TimesNewRoman" w:eastAsia="仿宋_GB2312" w:cs="TimesNewRoman"/>
          <w:kern w:val="0"/>
          <w:sz w:val="32"/>
          <w:szCs w:val="32"/>
        </w:rPr>
        <w:t>主要包括: 基本工资、津贴补贴、奖金、绩效工资、机关事业单位基本养老保险费、职业年金缴费、职工基本医疗保险缴费、公务员医疗补助缴费、其他社会保障缴费、住房公积金、办公费、工会经费、福利费、其他商品和服务支出、退休费、医疗费补助、奖励金、对其他个人和家庭的补助支出。</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（二）公用经费19.2万元，</w:t>
      </w:r>
      <w:r>
        <w:rPr>
          <w:rFonts w:hint="eastAsia" w:ascii="TimesNewRoman" w:hAnsi="TimesNewRoman" w:eastAsia="仿宋_GB2312" w:cs="TimesNewRoman"/>
          <w:kern w:val="0"/>
          <w:sz w:val="32"/>
          <w:szCs w:val="32"/>
        </w:rPr>
        <w:t>主要包括：水费、电费、其他商品和服务支出。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淮北市劳动人事争议仲裁院2025年没有政府性基金预算拨款收入，也没有使用政府性基金预算拨款安排的支出。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淮北市劳动人事争议仲裁院2025年没有国有资本经营预算拨款收入，也没有使用国有资本经营预算拨款安排的支出。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2025年预算共安排项目支出64万元，比2024年预算增加44万元，增长220%，原因主要是机构改革原淮北市劳动保障监察综合执法支队与我单位合并造成项目经费增加。主要包括：本年财政拨款安排64万元（其中，一般公共预算拨款安排64万元，政府性基金预算拨款安排0万元），财政专户管理资金安排0万元。</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淮北市劳动人事争议仲裁院2025年没有使用一般公共预算拨款、政府性基金预算拨款、国有资本经营预算拨款、财政专户管理资金和单位资金安排的政府采购支出。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淮北市劳动人事争议仲裁院2025年没有安排政府购买服务支出。</w:t>
      </w:r>
    </w:p>
    <w:p>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淮北市劳动人事争议仲裁院2025</w:t>
      </w:r>
      <w:r>
        <w:rPr>
          <w:rFonts w:ascii="TimesNewRoman" w:hAnsi="TimesNewRoman" w:eastAsia="仿宋_GB2312" w:cs="TimesNewRoman"/>
          <w:sz w:val="32"/>
          <w:szCs w:val="32"/>
        </w:rPr>
        <w:t>年没有安排通用资产配置支出。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1、“劳动仲裁（维权）办案经费”项目。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加强劳动人事纠纷处理工作、规范全市劳动用工行为，维护劳动者合法权益，从经费上保障劳动人事争议仲裁、劳动用工维权工作，加大宣传力度，依法查处和打击违法用工，以及开展劳动力市场清理整顿、劳动用工和社会保障专项检查、根治欠薪专项检查等各项检查工作，贯彻执行人力资源社会保障法律法规，接待政策咨询，处理劳动人事争议案件和劳动保障维权案件，对县区、园区案件处理开展业务指导，参与处置因劳动人事纠纷引发的突发事件。</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1 \* GB3 \* MERGEFORMAT </w:instrText>
      </w:r>
      <w:r>
        <w:rPr>
          <w:rFonts w:hint="eastAsia" w:ascii="TimesNewRoman" w:hAnsi="TimesNewRoman" w:eastAsia="仿宋_GB2312" w:cs="TimesNewRoman"/>
          <w:kern w:val="0"/>
          <w:sz w:val="32"/>
          <w:szCs w:val="32"/>
        </w:rPr>
        <w:fldChar w:fldCharType="separate"/>
      </w:r>
      <w:r>
        <w:t>①</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国务院令第423号《劳动保障监察条例》第五条：“劳动保障监察所需经费列入本级财政预算”。</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2 \* GB3 \* MERGEFORMAT </w:instrText>
      </w:r>
      <w:r>
        <w:rPr>
          <w:rFonts w:hint="eastAsia" w:ascii="TimesNewRoman" w:hAnsi="TimesNewRoman" w:eastAsia="仿宋_GB2312" w:cs="TimesNewRoman"/>
          <w:kern w:val="0"/>
          <w:sz w:val="32"/>
          <w:szCs w:val="32"/>
        </w:rPr>
        <w:fldChar w:fldCharType="separate"/>
      </w:r>
      <w:r>
        <w:t>②</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《中华人民共和国劳动争议调解仲裁法》第五十三条：“劳动争议仲裁委员会的经费由财政予以保障。”</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3 \* GB3 \* MERGEFORMAT </w:instrText>
      </w:r>
      <w:r>
        <w:rPr>
          <w:rFonts w:hint="eastAsia" w:ascii="TimesNewRoman" w:hAnsi="TimesNewRoman" w:eastAsia="仿宋_GB2312" w:cs="TimesNewRoman"/>
          <w:kern w:val="0"/>
          <w:sz w:val="32"/>
          <w:szCs w:val="32"/>
        </w:rPr>
        <w:fldChar w:fldCharType="separate"/>
      </w:r>
      <w:r>
        <w:t>③</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安徽省人社厅、省编办、省财政厅《关于加强劳动保障监察执法能力建设的实施意见》（皖人社发〔2016〕31号）第三条（三）“依法将劳动保障监察履行法定职责所需经费列入同级财政预算，严禁将行政罚款收入与工作经费挂钩或变相挂钩”。</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4 \* GB3 \* MERGEFORMAT </w:instrText>
      </w:r>
      <w:r>
        <w:rPr>
          <w:rFonts w:hint="eastAsia" w:ascii="TimesNewRoman" w:hAnsi="TimesNewRoman" w:eastAsia="仿宋_GB2312" w:cs="TimesNewRoman"/>
          <w:kern w:val="0"/>
          <w:sz w:val="32"/>
          <w:szCs w:val="32"/>
        </w:rPr>
        <w:fldChar w:fldCharType="separate"/>
      </w:r>
      <w:r>
        <w:t>④</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市编委会《关于撤销市劳动保障监察综合执法支队等有关事项的通知》（淮编[2024]14号）：撤销市劳动保障监察综合执法支队，将原市劳动保障综合执法支队承担的辅助性事务性工作和人员划入市劳动人事争议仲裁院，加挂市劳动保障维权中心牌子。市劳动争议仲裁院主要承担：依法调处劳动保障纠纷，组织处理有关突发事件等执法辅助事务性工作。</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5 \* GB3 \* MERGEFORMAT </w:instrText>
      </w:r>
      <w:r>
        <w:rPr>
          <w:rFonts w:hint="eastAsia" w:ascii="TimesNewRoman" w:hAnsi="TimesNewRoman" w:eastAsia="仿宋_GB2312" w:cs="TimesNewRoman"/>
          <w:kern w:val="0"/>
          <w:sz w:val="32"/>
          <w:szCs w:val="32"/>
        </w:rPr>
        <w:fldChar w:fldCharType="separate"/>
      </w:r>
      <w:r>
        <w:t>⑤</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省领导小组办公室《关于印发&lt;2022年度安徽省保障农民工工资支付工作考核细则&gt;的通知》（皖治欠办发〔2023〕6号）第21条：“建立省级集中的工资支付监控预警平台,并与国家平台实现信息互联共享（9分），未按要求，开发或升级市级农民工工资支付监管平台的，扣1分；市级平台未能实现全市数据集中的，扣1分；未建立市级指挥中心的，扣1分；市级指挥中心未能与省指挥中心互联互通的，扣1分；”。</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6 \* GB3 \* MERGEFORMAT </w:instrText>
      </w:r>
      <w:r>
        <w:rPr>
          <w:rFonts w:hint="eastAsia" w:ascii="TimesNewRoman" w:hAnsi="TimesNewRoman" w:eastAsia="仿宋_GB2312" w:cs="TimesNewRoman"/>
          <w:kern w:val="0"/>
          <w:sz w:val="32"/>
          <w:szCs w:val="32"/>
        </w:rPr>
        <w:fldChar w:fldCharType="separate"/>
      </w:r>
      <w:r>
        <w:t>⑥</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关于设立集中接访日的通知（淮治欠办发〔2022〕15号）将每月19日设为全市固定接访日，由市分管领导带头，联合相关部门集中接访。</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7 \* GB3 \* MERGEFORMAT </w:instrText>
      </w:r>
      <w:r>
        <w:rPr>
          <w:rFonts w:hint="eastAsia" w:ascii="TimesNewRoman" w:hAnsi="TimesNewRoman" w:eastAsia="仿宋_GB2312" w:cs="TimesNewRoman"/>
          <w:kern w:val="0"/>
          <w:sz w:val="32"/>
          <w:szCs w:val="32"/>
        </w:rPr>
        <w:fldChar w:fldCharType="separate"/>
      </w:r>
      <w:r>
        <w:t>⑦</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关于规范劳动人事争议仲裁工作人员服装的通知（皖人社秘〔2021〕140号）“劳动人事争议仲裁机构专门从事仲裁工作的人员、办案辅助人员实行统一着装。</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8 \* GB3 \* MERGEFORMAT </w:instrText>
      </w:r>
      <w:r>
        <w:rPr>
          <w:rFonts w:hint="eastAsia" w:ascii="TimesNewRoman" w:hAnsi="TimesNewRoman" w:eastAsia="仿宋_GB2312" w:cs="TimesNewRoman"/>
          <w:kern w:val="0"/>
          <w:sz w:val="32"/>
          <w:szCs w:val="32"/>
        </w:rPr>
        <w:fldChar w:fldCharType="separate"/>
      </w:r>
      <w:r>
        <w:t>⑧</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 xml:space="preserve">人社部、财政部《关于进一步加强人力资源社会保障窗口单位经办队伍建设的意见》（人社部发〔2019〕13号）第十一项，有条件的地区要逐步提高专兼职仲裁员办案补助标准； </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9 \* GB3 \* MERGEFORMAT </w:instrText>
      </w:r>
      <w:r>
        <w:rPr>
          <w:rFonts w:hint="eastAsia" w:ascii="TimesNewRoman" w:hAnsi="TimesNewRoman" w:eastAsia="仿宋_GB2312" w:cs="TimesNewRoman"/>
          <w:kern w:val="0"/>
          <w:sz w:val="32"/>
          <w:szCs w:val="32"/>
        </w:rPr>
        <w:fldChar w:fldCharType="separate"/>
      </w:r>
      <w:r>
        <w:t>⑨</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省人社厅、省财政厅等8部门《关于进一步加强劳动人事争议调解仲裁完善多元化处理机制的实施意见》（皖人社发〔2017〕29号）第六部分第三项：将仲裁工作所需经费列入同级政府财政预算，为调解仲裁开展服务提供保障，积极给予经费支持；</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10 \* GB3 \* MERGEFORMAT </w:instrText>
      </w:r>
      <w:r>
        <w:rPr>
          <w:rFonts w:hint="eastAsia" w:ascii="TimesNewRoman" w:hAnsi="TimesNewRoman" w:eastAsia="仿宋_GB2312" w:cs="TimesNewRoman"/>
          <w:kern w:val="0"/>
          <w:sz w:val="32"/>
          <w:szCs w:val="32"/>
        </w:rPr>
        <w:fldChar w:fldCharType="separate"/>
      </w:r>
      <w:r>
        <w:t>⑩</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人社部、财政部等8部门《关于进一步加强劳动人事争议调解仲裁完善多元化处理机制的意见》（人社部发〔2017〕26号）第六部分第十七项：同级财政预算予以保障，为开展仲裁活动提供支撑。</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（3）实施主体。淮北市劳动人事争议仲裁院。</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（5）项目内容。处理人事纠纷工作，依法查处和打击违法用工，以及开展劳动力市场清理整顿、劳动用工和社会保障专项检查、根治欠薪专项检查等各项检查工作而开展的办公费、印刷费</w:t>
      </w:r>
      <w:r>
        <w:rPr>
          <w:rFonts w:hint="eastAsia" w:ascii="Times New Roman" w:hAnsi="Times New Roman" w:eastAsia="仿宋_GB2312" w:cs="Times New Roman"/>
          <w:kern w:val="0"/>
          <w:sz w:val="32"/>
          <w:szCs w:val="32"/>
        </w:rPr>
        <w:t>、</w:t>
      </w:r>
      <w:r>
        <w:rPr>
          <w:rFonts w:hint="eastAsia" w:ascii="TimesNewRoman" w:hAnsi="TimesNewRoman" w:eastAsia="仿宋_GB2312" w:cs="TimesNewRoman"/>
          <w:kern w:val="0"/>
          <w:sz w:val="32"/>
          <w:szCs w:val="32"/>
        </w:rPr>
        <w:t>水电费</w:t>
      </w:r>
      <w:r>
        <w:rPr>
          <w:rFonts w:hint="eastAsia" w:ascii="Times New Roman" w:hAnsi="Times New Roman" w:eastAsia="仿宋_GB2312" w:cs="Times New Roman"/>
          <w:kern w:val="0"/>
          <w:sz w:val="32"/>
          <w:szCs w:val="32"/>
        </w:rPr>
        <w:t>、</w:t>
      </w:r>
      <w:r>
        <w:rPr>
          <w:rFonts w:hint="eastAsia" w:ascii="TimesNewRoman" w:hAnsi="TimesNewRoman" w:eastAsia="仿宋_GB2312" w:cs="TimesNewRoman"/>
          <w:kern w:val="0"/>
          <w:sz w:val="32"/>
          <w:szCs w:val="32"/>
        </w:rPr>
        <w:t>邮电费</w:t>
      </w:r>
      <w:r>
        <w:rPr>
          <w:rFonts w:hint="eastAsia" w:ascii="Times New Roman" w:hAnsi="Times New Roman" w:eastAsia="仿宋_GB2312" w:cs="Times New Roman"/>
          <w:kern w:val="0"/>
          <w:sz w:val="32"/>
          <w:szCs w:val="32"/>
        </w:rPr>
        <w:t>、</w:t>
      </w:r>
      <w:r>
        <w:rPr>
          <w:rFonts w:hint="eastAsia" w:ascii="TimesNewRoman" w:hAnsi="TimesNewRoman" w:eastAsia="仿宋_GB2312" w:cs="TimesNewRoman"/>
          <w:kern w:val="0"/>
          <w:sz w:val="32"/>
          <w:szCs w:val="32"/>
        </w:rPr>
        <w:t>差旅费、维修（护）费</w:t>
      </w:r>
      <w:r>
        <w:rPr>
          <w:rFonts w:hint="eastAsia" w:ascii="Times New Roman" w:hAnsi="Times New Roman" w:eastAsia="仿宋_GB2312" w:cs="Times New Roman"/>
          <w:kern w:val="0"/>
          <w:sz w:val="32"/>
          <w:szCs w:val="32"/>
        </w:rPr>
        <w:t>、</w:t>
      </w:r>
      <w:r>
        <w:rPr>
          <w:rFonts w:hint="eastAsia" w:ascii="TimesNewRoman" w:hAnsi="TimesNewRoman" w:eastAsia="仿宋_GB2312" w:cs="TimesNewRoman"/>
          <w:kern w:val="0"/>
          <w:sz w:val="32"/>
          <w:szCs w:val="32"/>
        </w:rPr>
        <w:t>培训费、其他商品和服务支出</w:t>
      </w:r>
      <w:r>
        <w:rPr>
          <w:rFonts w:hint="eastAsia" w:ascii="Times New Roman" w:hAnsi="Times New Roman" w:eastAsia="仿宋_GB2312" w:cs="Times New Roman"/>
          <w:kern w:val="0"/>
          <w:sz w:val="32"/>
          <w:szCs w:val="32"/>
        </w:rPr>
        <w:t>等</w:t>
      </w:r>
      <w:r>
        <w:rPr>
          <w:rFonts w:hint="eastAsia" w:ascii="TimesNewRoman" w:hAnsi="TimesNewRoman" w:eastAsia="仿宋_GB2312" w:cs="TimesNewRoman"/>
          <w:kern w:val="0"/>
          <w:sz w:val="32"/>
          <w:szCs w:val="32"/>
        </w:rPr>
        <w:t>。</w:t>
      </w:r>
    </w:p>
    <w:p>
      <w:pPr>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（6）年度预算安排。</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楷体" w:eastAsia="仿宋_GB2312"/>
          <w:sz w:val="32"/>
          <w:szCs w:val="32"/>
        </w:rPr>
        <w:t>年度预算安排</w:t>
      </w:r>
      <w:r>
        <w:rPr>
          <w:rFonts w:hint="eastAsia" w:ascii="Times New Roman" w:hAnsi="Times New Roman" w:eastAsia="仿宋_GB2312" w:cs="Times New Roman"/>
          <w:sz w:val="32"/>
          <w:szCs w:val="32"/>
        </w:rPr>
        <w:t>39</w:t>
      </w:r>
      <w:r>
        <w:rPr>
          <w:rFonts w:hint="eastAsia" w:ascii="仿宋_GB2312" w:hAnsi="仿宋" w:eastAsia="仿宋_GB2312"/>
          <w:sz w:val="32"/>
          <w:szCs w:val="32"/>
        </w:rPr>
        <w:t>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劳动仲裁（维权）办案经费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ascii="宋体" w:cs="宋体"/>
                <w:sz w:val="20"/>
              </w:rPr>
            </w:pPr>
            <w:r>
              <w:rPr>
                <w:rFonts w:ascii="Times New Roman" w:hAnsi="Times New Roman" w:cs="Times New Roman"/>
                <w:sz w:val="20"/>
              </w:rPr>
              <w:t>104</w:t>
            </w:r>
            <w:r>
              <w:rPr>
                <w:rFonts w:hint="eastAsia" w:ascii="宋体" w:cs="宋体"/>
                <w:sz w:val="20"/>
              </w:rPr>
              <w:t>-淮北市人力资源和社会保障局</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pPr>
            <w:r>
              <w:rPr>
                <w:rFonts w:hint="eastAsia" w:ascii="Times New Roman" w:hAnsi="Times New Roman" w:cs="Times New Roman"/>
                <w:sz w:val="20"/>
              </w:rPr>
              <w:t>淮北市劳动人事争议仲裁院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ascii="Times New Roman" w:hAnsi="Times New Roman" w:cs="Times New Roman"/>
                <w:sz w:val="20"/>
              </w:rPr>
              <w:t>1</w:t>
            </w:r>
            <w:r>
              <w:rPr>
                <w:rFonts w:hint="eastAsia" w:ascii="宋体" w:cs="宋体"/>
                <w:sz w:val="20"/>
              </w:rPr>
              <w:t>-本级申报项目</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pP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w:t>
            </w:r>
            <w:r>
              <w:rPr>
                <w:rFonts w:hint="eastAsia"/>
              </w:rPr>
              <w:t>-</w:t>
            </w: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left"/>
              <w:rPr>
                <w:rFonts w:ascii="宋体" w:cs="宋体"/>
                <w:sz w:val="20"/>
              </w:rPr>
            </w:pPr>
            <w:r>
              <w:rPr>
                <w:rFonts w:hint="eastAsia" w:ascii="宋体" w:cs="宋体"/>
                <w:sz w:val="20"/>
              </w:rPr>
              <w:t>通过项目的实施，进一步提升劳动人事争议仲裁（维权）的工作力度，引导劳资双方树立规范用工、遵规守法意识；及时办理各类劳动人事争议仲裁和劳动保障维权案件，协助市人社局办理劳动保障监察案件，切实维护劳动者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指标1：劳动争议案件结案率  </w:t>
            </w:r>
          </w:p>
        </w:tc>
        <w:tc>
          <w:tcPr>
            <w:tcW w:w="4228" w:type="dxa"/>
            <w:gridSpan w:val="2"/>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w:t>
            </w:r>
            <w:r>
              <w:rPr>
                <w:rFonts w:hint="eastAsia" w:ascii="宋体" w:cs="宋体"/>
                <w:sz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指标1：高质量完成劳动争议案件率</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r>
              <w:rPr>
                <w:rFonts w:ascii="Times New Roman" w:hAnsi="Times New Roman" w:eastAsia="宋体" w:cs="Times New Roman"/>
                <w:color w:val="000000"/>
                <w:kern w:val="0"/>
                <w:sz w:val="20"/>
                <w:szCs w:val="20"/>
              </w:rPr>
              <w:t>9</w:t>
            </w:r>
            <w:r>
              <w:rPr>
                <w:rFonts w:hint="eastAsia" w:ascii="Times New Roman" w:hAnsi="Times New Roman" w:eastAsia="宋体" w:cs="Times New Roman"/>
                <w:color w:val="000000"/>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指标1：在法律规定时效内结案</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Times New Roman" w:hAnsi="Times New Roman" w:eastAsia="宋体" w:cs="Times New Roman"/>
                <w:color w:val="000000"/>
                <w:kern w:val="0"/>
                <w:sz w:val="20"/>
                <w:szCs w:val="20"/>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指标1：减少仲裁专递送达次数</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指标1：劳动者得到应得利益</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劳动者相关待遇得到保证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指标1：维护了劳动关系的和谐稳定</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指标1：不适用</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指标1：促进用人单位遵纪守法意识</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逐步提升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指标1：劳动者及用人单位对劳动争议案件处理表示满意程度</w:t>
            </w:r>
          </w:p>
        </w:tc>
        <w:tc>
          <w:tcPr>
            <w:tcW w:w="4228" w:type="dxa"/>
            <w:gridSpan w:val="2"/>
            <w:tcBorders>
              <w:tl2br w:val="nil"/>
              <w:tr2bl w:val="nil"/>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r>
              <w:rPr>
                <w:rFonts w:ascii="Times New Roman" w:hAnsi="Times New Roman" w:eastAsia="宋体" w:cs="Times New Roman"/>
                <w:color w:val="000000"/>
                <w:kern w:val="0"/>
                <w:sz w:val="20"/>
                <w:szCs w:val="20"/>
              </w:rPr>
              <w:t>98</w:t>
            </w:r>
            <w:r>
              <w:rPr>
                <w:rFonts w:hint="eastAsia" w:ascii="宋体" w:hAnsi="宋体" w:eastAsia="宋体" w:cs="宋体"/>
                <w:color w:val="000000"/>
                <w:kern w:val="0"/>
                <w:sz w:val="20"/>
                <w:szCs w:val="20"/>
              </w:rPr>
              <w:t>百分比</w:t>
            </w:r>
          </w:p>
        </w:tc>
      </w:tr>
    </w:tbl>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2、“农民工工资清欠经费”项目。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农民工工资清欠工作经费已经列入省考核市政府指标，经费主要用于：开展农民工工资专项检查，中秋、元旦、春节期间集中清欠，常态化农民工工资清欠办公场地租赁，处理应急上访事件，组织农民工工资清欠会议，对全市农民工工资清欠工作进行调度、检查，全市农民工工资投诉平台建设等，在实际工作中需产生一些费用。</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1 \* GB3 \* MERGEFORMAT </w:instrText>
      </w:r>
      <w:r>
        <w:rPr>
          <w:rFonts w:hint="eastAsia" w:ascii="TimesNewRoman" w:hAnsi="TimesNewRoman" w:eastAsia="仿宋_GB2312" w:cs="TimesNewRoman"/>
          <w:kern w:val="0"/>
          <w:sz w:val="32"/>
          <w:szCs w:val="32"/>
        </w:rPr>
        <w:fldChar w:fldCharType="separate"/>
      </w:r>
      <w:r>
        <w:t>①</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淮北市人民政府《关于进一步做好为农民工服务工作的实施意见》（淮政〔2015〕35号）第（十八）“要保障农民工工资集中清欠工作的经费”。</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2 \* GB3 \* MERGEFORMAT </w:instrText>
      </w:r>
      <w:r>
        <w:rPr>
          <w:rFonts w:hint="eastAsia" w:ascii="TimesNewRoman" w:hAnsi="TimesNewRoman" w:eastAsia="仿宋_GB2312" w:cs="TimesNewRoman"/>
          <w:kern w:val="0"/>
          <w:sz w:val="32"/>
          <w:szCs w:val="32"/>
        </w:rPr>
        <w:fldChar w:fldCharType="separate"/>
      </w:r>
      <w:r>
        <w:t>②</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《淮北市人民政府办公室关于印发预防和解决建筑领域拖欠农民工工资办法的通知》（淮政办〔2014〕15号）第九条：“财政部门分级负责落实欠薪应急资金，保证农民工工资清欠专项经费”。</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3 \* GB3 \* MERGEFORMAT </w:instrText>
      </w:r>
      <w:r>
        <w:rPr>
          <w:rFonts w:hint="eastAsia" w:ascii="TimesNewRoman" w:hAnsi="TimesNewRoman" w:eastAsia="仿宋_GB2312" w:cs="TimesNewRoman"/>
          <w:kern w:val="0"/>
          <w:sz w:val="32"/>
          <w:szCs w:val="32"/>
        </w:rPr>
        <w:fldChar w:fldCharType="separate"/>
      </w:r>
      <w:r>
        <w:t>③</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安徽省人民政府办公</w:t>
      </w:r>
      <w:r>
        <w:rPr>
          <w:rFonts w:hint="eastAsia" w:ascii="TimesNewRoman" w:hAnsi="TimesNewRoman" w:eastAsia="仿宋_GB2312" w:cs="TimesNewRoman"/>
          <w:kern w:val="0"/>
          <w:sz w:val="32"/>
          <w:szCs w:val="32"/>
          <w:lang w:val="en-US" w:eastAsia="zh-CN"/>
        </w:rPr>
        <w:t>厅</w:t>
      </w:r>
      <w:r>
        <w:rPr>
          <w:rFonts w:hint="eastAsia" w:ascii="TimesNewRoman" w:hAnsi="TimesNewRoman" w:eastAsia="仿宋_GB2312" w:cs="TimesNewRoman"/>
          <w:kern w:val="0"/>
          <w:sz w:val="32"/>
          <w:szCs w:val="32"/>
        </w:rPr>
        <w:t>《关于印发保障农民工工资支付工作考核办法的通知》（皖政办秘〔2023〕8号）第三条“考核工作从2023年到2027年，每年开展</w:t>
      </w:r>
      <w:bookmarkStart w:id="0" w:name="_GoBack"/>
      <w:bookmarkEnd w:id="0"/>
      <w:r>
        <w:rPr>
          <w:rFonts w:hint="eastAsia" w:ascii="TimesNewRoman" w:hAnsi="TimesNewRoman" w:eastAsia="仿宋_GB2312" w:cs="TimesNewRoman"/>
          <w:kern w:val="0"/>
          <w:sz w:val="32"/>
          <w:szCs w:val="32"/>
        </w:rPr>
        <w:t>1次，并纳入省政府目标管理绩效考核。”</w:t>
      </w:r>
      <w:r>
        <w:rPr>
          <w:rFonts w:hint="eastAsia" w:ascii="TimesNewRoman" w:hAnsi="TimesNewRoman" w:eastAsia="仿宋_GB2312" w:cs="TimesNewRoman"/>
          <w:kern w:val="0"/>
          <w:sz w:val="32"/>
          <w:szCs w:val="32"/>
        </w:rPr>
        <w:fldChar w:fldCharType="begin"/>
      </w:r>
      <w:r>
        <w:rPr>
          <w:rFonts w:hint="eastAsia" w:ascii="TimesNewRoman" w:hAnsi="TimesNewRoman" w:eastAsia="仿宋_GB2312" w:cs="TimesNewRoman"/>
          <w:kern w:val="0"/>
          <w:sz w:val="32"/>
          <w:szCs w:val="32"/>
        </w:rPr>
        <w:instrText xml:space="preserve"> = 4 \* GB3 \* MERGEFORMAT </w:instrText>
      </w:r>
      <w:r>
        <w:rPr>
          <w:rFonts w:hint="eastAsia" w:ascii="TimesNewRoman" w:hAnsi="TimesNewRoman" w:eastAsia="仿宋_GB2312" w:cs="TimesNewRoman"/>
          <w:kern w:val="0"/>
          <w:sz w:val="32"/>
          <w:szCs w:val="32"/>
        </w:rPr>
        <w:fldChar w:fldCharType="separate"/>
      </w:r>
      <w:r>
        <w:t>④</w:t>
      </w:r>
      <w:r>
        <w:rPr>
          <w:rFonts w:hint="eastAsia" w:ascii="TimesNewRoman" w:hAnsi="TimesNewRoman" w:eastAsia="仿宋_GB2312" w:cs="TimesNewRoman"/>
          <w:kern w:val="0"/>
          <w:sz w:val="32"/>
          <w:szCs w:val="32"/>
        </w:rPr>
        <w:fldChar w:fldCharType="end"/>
      </w:r>
      <w:r>
        <w:rPr>
          <w:rFonts w:hint="eastAsia" w:ascii="TimesNewRoman" w:hAnsi="TimesNewRoman" w:eastAsia="仿宋_GB2312" w:cs="TimesNewRoman"/>
          <w:kern w:val="0"/>
          <w:sz w:val="32"/>
          <w:szCs w:val="32"/>
        </w:rPr>
        <w:t>安徽省根治拖欠农民工工资工作领导小组办公室《关于印发&lt;2022年度安徽省保障农民工工资支付工作考核细则&gt;的通知》（皖治欠办发〔2023〕6号），第21条：“建立省级集中的工资支付监控预警平台,并与国家平台实现信息互联共享（9分），未按要求，开发或升级市级农民工工资支付监管平台的，扣1分；市级平台未能实现全市数据集中的，扣1分；未建立市级指挥中心的，扣1分；市级指挥中心未能与省指挥中心互联互通的，扣1分；”</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（3）实施主体。淮北市劳动人事争议仲裁院。</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月-</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年</w:t>
      </w:r>
      <w:r>
        <w:rPr>
          <w:rFonts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开展农民工工资专项检查，中秋、元旦、春节期间集中清欠，常态化农民工工资清欠办公场地租赁，处理应急上访事件，组织农民工工资清欠会议，对全市农民工工资清欠工作进行调度、检查，全市农民工工资投诉平台建设等，在实际工作中需产生一些费用。</w:t>
      </w:r>
    </w:p>
    <w:p>
      <w:pPr>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（6）年度预算安排。</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楷体" w:eastAsia="仿宋_GB2312"/>
          <w:sz w:val="32"/>
          <w:szCs w:val="32"/>
        </w:rPr>
        <w:t>年度预算安排</w:t>
      </w:r>
      <w:r>
        <w:rPr>
          <w:rFonts w:hint="eastAsia" w:ascii="Times New Roman" w:hAnsi="Times New Roman" w:eastAsia="仿宋_GB2312" w:cs="Times New Roman"/>
          <w:sz w:val="32"/>
          <w:szCs w:val="32"/>
        </w:rPr>
        <w:t>25</w:t>
      </w:r>
      <w:r>
        <w:rPr>
          <w:rFonts w:hint="eastAsia" w:ascii="仿宋_GB2312" w:hAnsi="仿宋" w:eastAsia="仿宋_GB2312"/>
          <w:sz w:val="32"/>
          <w:szCs w:val="32"/>
        </w:rPr>
        <w:t>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农民工工资清欠经费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ascii="宋体" w:cs="宋体"/>
                <w:sz w:val="20"/>
              </w:rPr>
            </w:pPr>
            <w:r>
              <w:rPr>
                <w:rFonts w:ascii="Times New Roman" w:hAnsi="Times New Roman" w:cs="Times New Roman"/>
                <w:sz w:val="20"/>
              </w:rPr>
              <w:t>104</w:t>
            </w:r>
            <w:r>
              <w:rPr>
                <w:rFonts w:hint="eastAsia" w:ascii="宋体" w:cs="宋体"/>
                <w:sz w:val="20"/>
              </w:rPr>
              <w:t>-淮北市人力资源和社会保障局</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pPr>
            <w:r>
              <w:rPr>
                <w:rFonts w:hint="eastAsia" w:ascii="Times New Roman" w:hAnsi="Times New Roman" w:cs="Times New Roman"/>
                <w:sz w:val="20"/>
              </w:rPr>
              <w:t>淮北市劳动人事争议仲裁院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ascii="Times New Roman" w:hAnsi="Times New Roman" w:cs="Times New Roman"/>
                <w:sz w:val="20"/>
              </w:rPr>
              <w:t>1</w:t>
            </w:r>
            <w:r>
              <w:rPr>
                <w:rFonts w:hint="eastAsia" w:ascii="宋体" w:cs="宋体"/>
                <w:sz w:val="20"/>
              </w:rPr>
              <w:t>-本级申报项目</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pP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w:t>
            </w:r>
            <w:r>
              <w:rPr>
                <w:rFonts w:hint="eastAsia"/>
              </w:rPr>
              <w:t>-</w:t>
            </w:r>
            <w:r>
              <w:rPr>
                <w:rFonts w:ascii="Times New Roman" w:hAnsi="Times New Roman" w:cs="Times New Roman"/>
              </w:rPr>
              <w:t>202</w:t>
            </w:r>
            <w:r>
              <w:rPr>
                <w:rFonts w:hint="eastAsia" w:ascii="Times New Roman" w:hAnsi="Times New Roman" w:cs="Times New Roman"/>
              </w:rPr>
              <w:t>5</w:t>
            </w:r>
            <w:r>
              <w:rPr>
                <w:rFonts w:hint="eastAsia"/>
              </w:rPr>
              <w:t>.</w:t>
            </w:r>
            <w:r>
              <w:rPr>
                <w:rFonts w:ascii="Times New Roman" w:hAnsi="Times New Roman" w:cs="Times New Roma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left"/>
              <w:rPr>
                <w:rFonts w:ascii="宋体" w:cs="宋体"/>
                <w:sz w:val="20"/>
              </w:rPr>
            </w:pPr>
            <w:r>
              <w:rPr>
                <w:rFonts w:hint="eastAsia" w:ascii="宋体" w:cs="宋体"/>
                <w:sz w:val="20"/>
              </w:rPr>
              <w:t>通过项目的实施，进一步提升劳动人事争议仲裁（维权）的工作力度，引导劳资双方树立规范用工、遵规守法意识；及时办理各类劳动人事争议仲裁和劳动保障维权案件，协助市人社局办理劳动保障监察案件，切实维护劳动者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指标1：拖欠农民工工资举报投诉案件结案率</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指标1：全市欠薪案件数、涉及人数、涉案金额</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同比下降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指标1：根治欠薪专项行动</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达成年度指标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指标1：节约经济成本</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指标1：缓解社会矛盾、严厉打击恶意欠薪</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有效缓解缓解社会矛盾、严厉打击恶意欠薪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指标1：不适用</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指标1：项目实施建立维护劳动者合法权益长效机制</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项目实施建立维护劳动者合法权益长效机制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指标1：服务对象满意度</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≥98%</w:t>
            </w:r>
          </w:p>
        </w:tc>
      </w:tr>
    </w:tbl>
    <w:p>
      <w:pPr>
        <w:ind w:firstLine="420" w:firstLineChars="200"/>
      </w:pP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淮北市劳动人事争议仲裁院为非参照公务员法管理的事业单位，按照部门预算机关运行经费口径，2025年无机关运行经费财政拨款预算。</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淮北市劳动人事争议仲裁院2025年政府采购预算0万元。其中：政府采购货物预算0万元，政府采购工程预算0万元，政府采购服务预算0万元。</w:t>
      </w:r>
    </w:p>
    <w:p>
      <w:pPr>
        <w:adjustRightInd w:val="0"/>
        <w:snapToGrid w:val="0"/>
        <w:spacing w:line="580" w:lineRule="exact"/>
        <w:ind w:firstLine="643" w:firstLineChars="200"/>
        <w:rPr>
          <w:rFonts w:ascii="TimesNewRoman" w:hAnsi="TimesNewRoman" w:eastAsia="仿宋_GB2312" w:cs="TimesNewRoman"/>
          <w:b/>
          <w:color w:val="000000" w:themeColor="text1"/>
          <w:sz w:val="32"/>
          <w:szCs w:val="32"/>
        </w:rPr>
      </w:pPr>
      <w:r>
        <w:rPr>
          <w:rFonts w:hint="eastAsia" w:ascii="TimesNewRoman" w:hAnsi="TimesNewRoman" w:eastAsia="仿宋_GB2312" w:cs="TimesNewRoman"/>
          <w:b/>
          <w:color w:val="000000" w:themeColor="text1"/>
          <w:sz w:val="32"/>
          <w:szCs w:val="32"/>
        </w:rPr>
        <w:t>（四）国有资产占有使用情况。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截至2024年12月31日，淮北市劳动人事争议仲裁院共有车辆0辆，单价50万元以上的通用设备0台（套），单价100万元以上的专用设备0台（套）。</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2025年单位预算安排购置公务用车0辆，购置费0万元；安排购置单价50万元以上的通用设备0台（套），购置费0万元；安排购置单价100万元以上专用设备0台（套），购置费0万元。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2025年，淮北市劳动人事争议仲裁院2个项目实行了绩效目标管理，涉及一般公共预算当年财政拨款64万元、政府性基金预算当年财政拨款0万元、财政专户管理资金当年安排0万元。</w:t>
      </w: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4NjFiNDUzZDZkZjUzODQ2OWY2YzA1NzAxZGM0YTkifQ=="/>
  </w:docVars>
  <w:rsids>
    <w:rsidRoot w:val="00E907C4"/>
    <w:rsid w:val="00011743"/>
    <w:rsid w:val="0005555A"/>
    <w:rsid w:val="000D295E"/>
    <w:rsid w:val="000E28EE"/>
    <w:rsid w:val="001139D8"/>
    <w:rsid w:val="00191814"/>
    <w:rsid w:val="001A3326"/>
    <w:rsid w:val="001C0F92"/>
    <w:rsid w:val="001C3C4E"/>
    <w:rsid w:val="0025304C"/>
    <w:rsid w:val="00267E33"/>
    <w:rsid w:val="00296A60"/>
    <w:rsid w:val="0032314D"/>
    <w:rsid w:val="00323202"/>
    <w:rsid w:val="003233EB"/>
    <w:rsid w:val="00377062"/>
    <w:rsid w:val="003B6827"/>
    <w:rsid w:val="003E182F"/>
    <w:rsid w:val="004A4DC6"/>
    <w:rsid w:val="005043A8"/>
    <w:rsid w:val="00571F90"/>
    <w:rsid w:val="0057562B"/>
    <w:rsid w:val="005B0109"/>
    <w:rsid w:val="006160F7"/>
    <w:rsid w:val="006546AF"/>
    <w:rsid w:val="00657102"/>
    <w:rsid w:val="006C218B"/>
    <w:rsid w:val="006D022D"/>
    <w:rsid w:val="006E7FF3"/>
    <w:rsid w:val="00705CC2"/>
    <w:rsid w:val="007064B3"/>
    <w:rsid w:val="00716D12"/>
    <w:rsid w:val="00726D96"/>
    <w:rsid w:val="00740B10"/>
    <w:rsid w:val="007974A6"/>
    <w:rsid w:val="007D36E5"/>
    <w:rsid w:val="007E3CF3"/>
    <w:rsid w:val="0083648D"/>
    <w:rsid w:val="00842D20"/>
    <w:rsid w:val="008A3543"/>
    <w:rsid w:val="008C328C"/>
    <w:rsid w:val="008E46E6"/>
    <w:rsid w:val="008F6D1A"/>
    <w:rsid w:val="009168AC"/>
    <w:rsid w:val="00921456"/>
    <w:rsid w:val="0099680A"/>
    <w:rsid w:val="009A3CA3"/>
    <w:rsid w:val="009C173E"/>
    <w:rsid w:val="009D4293"/>
    <w:rsid w:val="009F6A0E"/>
    <w:rsid w:val="00A02EFB"/>
    <w:rsid w:val="00A25AB7"/>
    <w:rsid w:val="00A87E81"/>
    <w:rsid w:val="00A921F9"/>
    <w:rsid w:val="00AB675D"/>
    <w:rsid w:val="00AB6CB4"/>
    <w:rsid w:val="00AE3242"/>
    <w:rsid w:val="00AE3B87"/>
    <w:rsid w:val="00AE3E91"/>
    <w:rsid w:val="00AF5BC1"/>
    <w:rsid w:val="00B36497"/>
    <w:rsid w:val="00B649A8"/>
    <w:rsid w:val="00B74C43"/>
    <w:rsid w:val="00B964EC"/>
    <w:rsid w:val="00BB7719"/>
    <w:rsid w:val="00BD640A"/>
    <w:rsid w:val="00BE1D04"/>
    <w:rsid w:val="00BE7FA0"/>
    <w:rsid w:val="00C22284"/>
    <w:rsid w:val="00C442D6"/>
    <w:rsid w:val="00C77E3B"/>
    <w:rsid w:val="00D11C4E"/>
    <w:rsid w:val="00D30A22"/>
    <w:rsid w:val="00D354F5"/>
    <w:rsid w:val="00D9206E"/>
    <w:rsid w:val="00DA26F6"/>
    <w:rsid w:val="00DB2A5C"/>
    <w:rsid w:val="00DC5579"/>
    <w:rsid w:val="00DD0EF1"/>
    <w:rsid w:val="00DE4F94"/>
    <w:rsid w:val="00E27E34"/>
    <w:rsid w:val="00E72710"/>
    <w:rsid w:val="00E769E6"/>
    <w:rsid w:val="00E907C4"/>
    <w:rsid w:val="00E91A8D"/>
    <w:rsid w:val="00EB0E71"/>
    <w:rsid w:val="00EC7755"/>
    <w:rsid w:val="00F45ECB"/>
    <w:rsid w:val="00F93A74"/>
    <w:rsid w:val="00F948EF"/>
    <w:rsid w:val="00F974AD"/>
    <w:rsid w:val="00FB70E7"/>
    <w:rsid w:val="00FE3164"/>
    <w:rsid w:val="0F0808D8"/>
    <w:rsid w:val="1C3C0E9F"/>
    <w:rsid w:val="1F634A97"/>
    <w:rsid w:val="24CB5949"/>
    <w:rsid w:val="33001C07"/>
    <w:rsid w:val="501D2572"/>
    <w:rsid w:val="794D3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7900</Words>
  <Characters>8680</Characters>
  <Lines>68</Lines>
  <Paragraphs>19</Paragraphs>
  <TotalTime>286</TotalTime>
  <ScaleCrop>false</ScaleCrop>
  <LinksUpToDate>false</LinksUpToDate>
  <CharactersWithSpaces>8818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…┫謎┣…</cp:lastModifiedBy>
  <dcterms:modified xsi:type="dcterms:W3CDTF">2025-07-25T02:55:41Z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52E568EF79EE4906B622836182C0D6DC_12</vt:lpwstr>
  </property>
</Properties>
</file>