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284" w:rsidRDefault="00705CC2">
      <w:pPr>
        <w:spacing w:line="560" w:lineRule="exact"/>
        <w:rPr>
          <w:rFonts w:ascii="TimesNewRoman" w:eastAsia="黑体" w:hAnsi="TimesNewRoman" w:cs="TimesNewRoman"/>
          <w:szCs w:val="32"/>
        </w:rPr>
      </w:pPr>
      <w:r>
        <w:rPr>
          <w:rFonts w:ascii="TimesNewRoman" w:eastAsia="黑体" w:hAnsi="TimesNewRoman" w:cs="TimesNewRoman" w:hint="eastAsia"/>
          <w:szCs w:val="32"/>
        </w:rPr>
        <w:t>附件</w:t>
      </w:r>
      <w:r>
        <w:rPr>
          <w:rFonts w:ascii="TimesNewRoman" w:eastAsia="黑体" w:hAnsi="TimesNewRoman" w:cs="TimesNewRoman" w:hint="eastAsia"/>
          <w:szCs w:val="32"/>
        </w:rPr>
        <w:t>1-1</w:t>
      </w:r>
    </w:p>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705CC2">
      <w:pPr>
        <w:spacing w:line="560" w:lineRule="exact"/>
        <w:jc w:val="center"/>
        <w:rPr>
          <w:rFonts w:ascii="TimesNewRoman" w:eastAsia="华文中宋" w:hAnsi="TimesNewRoman" w:cs="TimesNewRoman"/>
          <w:b/>
          <w:sz w:val="44"/>
          <w:szCs w:val="44"/>
        </w:rPr>
      </w:pPr>
      <w:r>
        <w:rPr>
          <w:rFonts w:ascii="TimesNewRoman" w:eastAsia="华文中宋" w:hAnsi="TimesNewRoman" w:cs="TimesNewRoman" w:hint="eastAsia"/>
          <w:b/>
          <w:sz w:val="44"/>
          <w:szCs w:val="44"/>
        </w:rPr>
        <w:t>淮北市劳动人事争议仲裁院</w:t>
      </w:r>
      <w:r>
        <w:rPr>
          <w:rFonts w:ascii="TimesNewRoman" w:eastAsia="华文中宋" w:hAnsi="TimesNewRoman" w:cs="TimesNewRoman" w:hint="eastAsia"/>
          <w:b/>
          <w:sz w:val="44"/>
          <w:szCs w:val="44"/>
        </w:rPr>
        <w:t>2025</w:t>
      </w:r>
      <w:r>
        <w:rPr>
          <w:rFonts w:ascii="TimesNewRoman" w:eastAsia="华文中宋" w:hAnsi="TimesNewRoman" w:cs="TimesNewRoman" w:hint="eastAsia"/>
          <w:b/>
          <w:sz w:val="44"/>
          <w:szCs w:val="44"/>
        </w:rPr>
        <w:t>年</w:t>
      </w:r>
    </w:p>
    <w:p w:rsidR="00C22284" w:rsidRDefault="00705CC2">
      <w:pPr>
        <w:spacing w:line="560" w:lineRule="exact"/>
        <w:jc w:val="center"/>
        <w:rPr>
          <w:rFonts w:ascii="TimesNewRoman" w:eastAsia="华文中宋" w:hAnsi="TimesNewRoman" w:cs="TimesNewRoman"/>
          <w:b/>
          <w:sz w:val="44"/>
          <w:szCs w:val="44"/>
        </w:rPr>
      </w:pPr>
      <w:r>
        <w:rPr>
          <w:rFonts w:ascii="TimesNewRoman" w:eastAsia="华文中宋" w:hAnsi="TimesNewRoman" w:cs="TimesNewRoman" w:hint="eastAsia"/>
          <w:b/>
          <w:sz w:val="44"/>
          <w:szCs w:val="44"/>
        </w:rPr>
        <w:t>单位预算</w:t>
      </w:r>
    </w:p>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 w:rsidR="00C22284" w:rsidRDefault="00C22284">
      <w:pPr>
        <w:pStyle w:val="a5"/>
        <w:adjustRightInd w:val="0"/>
        <w:snapToGrid w:val="0"/>
        <w:spacing w:line="560" w:lineRule="exact"/>
        <w:jc w:val="center"/>
        <w:rPr>
          <w:rFonts w:ascii="TimesNewRoman" w:eastAsia="黑体" w:hAnsi="TimesNewRoman" w:cs="TimesNewRoman"/>
          <w:bCs/>
          <w:sz w:val="44"/>
          <w:szCs w:val="44"/>
        </w:rPr>
      </w:pPr>
    </w:p>
    <w:p w:rsidR="00C22284" w:rsidRDefault="00705CC2">
      <w:pPr>
        <w:pStyle w:val="a5"/>
        <w:adjustRightInd w:val="0"/>
        <w:snapToGrid w:val="0"/>
        <w:spacing w:line="560" w:lineRule="exact"/>
        <w:jc w:val="center"/>
        <w:rPr>
          <w:rFonts w:ascii="TimesNewRoman" w:eastAsia="黑体" w:hAnsi="TimesNewRoman" w:cs="TimesNewRoman"/>
          <w:bCs/>
          <w:color w:val="000000" w:themeColor="text1"/>
          <w:sz w:val="44"/>
          <w:szCs w:val="44"/>
        </w:rPr>
      </w:pPr>
      <w:r>
        <w:rPr>
          <w:rFonts w:ascii="TimesNewRoman" w:eastAsia="黑体" w:hAnsi="TimesNewRoman" w:cs="TimesNewRoman" w:hint="eastAsia"/>
          <w:bCs/>
          <w:color w:val="000000" w:themeColor="text1"/>
          <w:sz w:val="44"/>
          <w:szCs w:val="44"/>
        </w:rPr>
        <w:t>2025</w:t>
      </w:r>
      <w:r>
        <w:rPr>
          <w:rFonts w:ascii="TimesNewRoman" w:eastAsia="黑体" w:hAnsi="TimesNewRoman" w:cs="TimesNewRoman" w:hint="eastAsia"/>
          <w:bCs/>
          <w:color w:val="000000" w:themeColor="text1"/>
          <w:sz w:val="44"/>
          <w:szCs w:val="44"/>
        </w:rPr>
        <w:t>年</w:t>
      </w:r>
      <w:r>
        <w:rPr>
          <w:rFonts w:ascii="TimesNewRoman" w:eastAsia="黑体" w:hAnsi="TimesNewRoman" w:cs="TimesNewRoman" w:hint="eastAsia"/>
          <w:bCs/>
          <w:color w:val="000000" w:themeColor="text1"/>
          <w:sz w:val="44"/>
          <w:szCs w:val="44"/>
        </w:rPr>
        <w:t>2</w:t>
      </w:r>
      <w:r>
        <w:rPr>
          <w:rFonts w:ascii="TimesNewRoman" w:eastAsia="黑体" w:hAnsi="TimesNewRoman" w:cs="TimesNewRoman" w:hint="eastAsia"/>
          <w:bCs/>
          <w:color w:val="000000" w:themeColor="text1"/>
          <w:sz w:val="44"/>
          <w:szCs w:val="44"/>
        </w:rPr>
        <w:t>月</w:t>
      </w:r>
    </w:p>
    <w:p w:rsidR="00C22284" w:rsidRDefault="00C22284"/>
    <w:p w:rsidR="00C22284" w:rsidRDefault="00C22284"/>
    <w:p w:rsidR="00C22284" w:rsidRDefault="00705CC2">
      <w:pPr>
        <w:pStyle w:val="a5"/>
        <w:adjustRightInd w:val="0"/>
        <w:snapToGrid w:val="0"/>
        <w:spacing w:line="560" w:lineRule="exact"/>
        <w:jc w:val="center"/>
        <w:rPr>
          <w:rFonts w:ascii="TimesNewRoman" w:eastAsia="黑体" w:hAnsi="TimesNewRoman" w:cs="TimesNewRoman"/>
          <w:bCs/>
          <w:sz w:val="44"/>
          <w:szCs w:val="44"/>
        </w:rPr>
      </w:pPr>
      <w:r>
        <w:rPr>
          <w:rFonts w:ascii="TimesNewRoman" w:eastAsia="黑体" w:hAnsi="TimesNewRoman" w:cs="TimesNewRoman" w:hint="eastAsia"/>
          <w:bCs/>
          <w:sz w:val="44"/>
          <w:szCs w:val="44"/>
        </w:rPr>
        <w:lastRenderedPageBreak/>
        <w:t>目</w:t>
      </w:r>
      <w:r>
        <w:rPr>
          <w:rFonts w:ascii="TimesNewRoman" w:eastAsia="黑体" w:hAnsi="TimesNewRoman" w:cs="TimesNewRoman" w:hint="eastAsia"/>
          <w:bCs/>
          <w:sz w:val="44"/>
          <w:szCs w:val="44"/>
        </w:rPr>
        <w:t xml:space="preserve">  </w:t>
      </w:r>
      <w:r>
        <w:rPr>
          <w:rFonts w:ascii="TimesNewRoman" w:eastAsia="黑体" w:hAnsi="TimesNewRoman" w:cs="TimesNewRoman" w:hint="eastAsia"/>
          <w:bCs/>
          <w:sz w:val="44"/>
          <w:szCs w:val="44"/>
        </w:rPr>
        <w:t>录</w:t>
      </w:r>
    </w:p>
    <w:p w:rsidR="00C22284" w:rsidRDefault="00C22284"/>
    <w:p w:rsidR="00C22284" w:rsidRDefault="00705CC2" w:rsidP="009D4293">
      <w:pPr>
        <w:pStyle w:val="a5"/>
        <w:adjustRightInd w:val="0"/>
        <w:snapToGrid w:val="0"/>
        <w:spacing w:line="40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第一部分单位概况</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w:t>
      </w:r>
      <w:r>
        <w:rPr>
          <w:rFonts w:ascii="TimesNewRoman" w:eastAsia="仿宋_GB2312" w:hAnsi="TimesNewRoman" w:cs="TimesNewRoman" w:hint="eastAsia"/>
          <w:bCs/>
          <w:sz w:val="32"/>
          <w:szCs w:val="32"/>
        </w:rPr>
        <w:t>、主要职责</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2</w:t>
      </w:r>
      <w:r>
        <w:rPr>
          <w:rFonts w:ascii="TimesNewRoman" w:eastAsia="仿宋_GB2312" w:hAnsi="TimesNewRoman" w:cs="TimesNewRoman" w:hint="eastAsia"/>
          <w:bCs/>
          <w:sz w:val="32"/>
          <w:szCs w:val="32"/>
        </w:rPr>
        <w:t>、单位预算构成</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 xml:space="preserve">3 </w:t>
      </w:r>
      <w:r>
        <w:rPr>
          <w:rFonts w:ascii="TimesNewRoman" w:eastAsia="仿宋_GB2312" w:hAnsi="TimesNewRoman" w:cs="TimesNewRoman" w:hint="eastAsia"/>
          <w:bCs/>
          <w:sz w:val="32"/>
          <w:szCs w:val="32"/>
        </w:rPr>
        <w:t>、</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年度主要工作任务</w:t>
      </w:r>
    </w:p>
    <w:p w:rsidR="00C22284" w:rsidRDefault="00705CC2" w:rsidP="009D4293">
      <w:pPr>
        <w:pStyle w:val="a5"/>
        <w:adjustRightInd w:val="0"/>
        <w:snapToGrid w:val="0"/>
        <w:spacing w:line="40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第二部分</w:t>
      </w:r>
      <w:r>
        <w:rPr>
          <w:rFonts w:ascii="TimesNewRoman" w:eastAsia="仿宋_GB2312" w:hAnsi="TimesNewRoman" w:cs="TimesNewRoman" w:hint="eastAsia"/>
          <w:b/>
          <w:sz w:val="32"/>
          <w:szCs w:val="32"/>
        </w:rPr>
        <w:t xml:space="preserve"> 2025</w:t>
      </w:r>
      <w:r>
        <w:rPr>
          <w:rFonts w:ascii="TimesNewRoman" w:eastAsia="仿宋_GB2312" w:hAnsi="TimesNewRoman" w:cs="TimesNewRoman" w:hint="eastAsia"/>
          <w:b/>
          <w:sz w:val="32"/>
          <w:szCs w:val="32"/>
        </w:rPr>
        <w:t>年单位预算表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年收支总表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2</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年收入总表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3</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年支出总表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4</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年财政拨款收支总表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5</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年一般公共预算支出表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6</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年一般公共预算基本支出表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7</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年政府性基金预算支出表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8</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年国有资本经营预算支出表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9</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年项目支出表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10</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年政府采购支出表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11</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年政府购买服务支出表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12</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bCs/>
          <w:sz w:val="32"/>
          <w:szCs w:val="32"/>
        </w:rPr>
        <w:t>2025</w:t>
      </w:r>
      <w:r>
        <w:rPr>
          <w:rFonts w:ascii="TimesNewRoman" w:eastAsia="仿宋_GB2312" w:hAnsi="TimesNewRoman" w:cs="TimesNewRoman"/>
          <w:bCs/>
          <w:sz w:val="32"/>
          <w:szCs w:val="32"/>
        </w:rPr>
        <w:t>年通用资产配置支出表</w:t>
      </w:r>
    </w:p>
    <w:p w:rsidR="00C22284" w:rsidRDefault="00C22284">
      <w:pPr>
        <w:pStyle w:val="a5"/>
        <w:adjustRightInd w:val="0"/>
        <w:snapToGrid w:val="0"/>
        <w:spacing w:line="400" w:lineRule="exact"/>
        <w:ind w:firstLineChars="250" w:firstLine="800"/>
        <w:rPr>
          <w:rFonts w:ascii="TimesNewRoman" w:eastAsia="仿宋_GB2312" w:hAnsi="TimesNewRoman" w:cs="TimesNewRoman"/>
          <w:bCs/>
          <w:sz w:val="32"/>
          <w:szCs w:val="32"/>
        </w:rPr>
      </w:pPr>
    </w:p>
    <w:p w:rsidR="00C22284" w:rsidRDefault="00705CC2" w:rsidP="009D4293">
      <w:pPr>
        <w:pStyle w:val="a5"/>
        <w:adjustRightInd w:val="0"/>
        <w:snapToGrid w:val="0"/>
        <w:spacing w:line="40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lastRenderedPageBreak/>
        <w:t>第三部分</w:t>
      </w:r>
      <w:r>
        <w:rPr>
          <w:rFonts w:ascii="TimesNewRoman" w:eastAsia="仿宋_GB2312" w:hAnsi="TimesNewRoman" w:cs="TimesNewRoman" w:hint="eastAsia"/>
          <w:b/>
          <w:sz w:val="32"/>
          <w:szCs w:val="32"/>
        </w:rPr>
        <w:t xml:space="preserve"> 2025</w:t>
      </w:r>
      <w:r>
        <w:rPr>
          <w:rFonts w:ascii="TimesNewRoman" w:eastAsia="仿宋_GB2312" w:hAnsi="TimesNewRoman" w:cs="TimesNewRoman" w:hint="eastAsia"/>
          <w:b/>
          <w:sz w:val="32"/>
          <w:szCs w:val="32"/>
        </w:rPr>
        <w:t>年单位预算情况说明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年收支总表的说明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2</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年收入总表的说明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3</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年支出总表的说明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4</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年财政拨款收支总表的说明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5</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年一般公共预算支出表的说明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6</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年一般公共预算基本支出表的说明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7</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年政府性基金预算支出表的说明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8</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年国有资本经营预算支出表的说明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9</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年项目支出表的说明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10</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年政府采购支出表的说明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11</w:t>
      </w:r>
      <w:r>
        <w:rPr>
          <w:rFonts w:ascii="TimesNewRoman" w:eastAsia="仿宋_GB2312" w:hAnsi="TimesNewRoman" w:cs="TimesNewRoman" w:hint="eastAsia"/>
          <w:bCs/>
          <w:sz w:val="32"/>
          <w:szCs w:val="32"/>
        </w:rPr>
        <w:t>、关于</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年政府购买服务支出表的说明</w:t>
      </w:r>
    </w:p>
    <w:p w:rsidR="0083648D" w:rsidRDefault="0083648D" w:rsidP="0083648D">
      <w:pPr>
        <w:pStyle w:val="a5"/>
        <w:adjustRightInd w:val="0"/>
        <w:snapToGrid w:val="0"/>
        <w:spacing w:line="560" w:lineRule="exact"/>
        <w:ind w:firstLineChars="250" w:firstLine="800"/>
        <w:rPr>
          <w:rFonts w:ascii="TimesNewRoman" w:eastAsia="黑体" w:hAnsi="TimesNewRoman" w:cs="TimesNewRoman"/>
          <w:sz w:val="32"/>
          <w:szCs w:val="32"/>
        </w:rPr>
      </w:pPr>
      <w:r>
        <w:rPr>
          <w:rFonts w:ascii="TimesNewRoman" w:eastAsia="仿宋_GB2312" w:hAnsi="TimesNewRoman" w:cs="TimesNewRoman" w:hint="eastAsia"/>
          <w:bCs/>
          <w:sz w:val="32"/>
          <w:szCs w:val="32"/>
        </w:rPr>
        <w:t>12</w:t>
      </w:r>
      <w:r>
        <w:rPr>
          <w:rFonts w:ascii="TimesNewRoman" w:eastAsia="仿宋_GB2312" w:hAnsi="TimesNewRoman" w:cs="TimesNewRoman" w:hint="eastAsia"/>
          <w:bCs/>
          <w:sz w:val="32"/>
          <w:szCs w:val="32"/>
        </w:rPr>
        <w:t>、</w:t>
      </w:r>
      <w:r>
        <w:rPr>
          <w:rFonts w:ascii="TimesNewRoman" w:eastAsia="黑体" w:hAnsi="TimesNewRoman" w:cs="TimesNewRoman"/>
          <w:sz w:val="32"/>
          <w:szCs w:val="32"/>
        </w:rPr>
        <w:t>关于</w:t>
      </w:r>
      <w:r>
        <w:rPr>
          <w:rFonts w:ascii="TimesNewRoman" w:eastAsia="黑体" w:hAnsi="TimesNewRoman" w:cs="TimesNewRoman" w:hint="eastAsia"/>
          <w:sz w:val="32"/>
          <w:szCs w:val="32"/>
        </w:rPr>
        <w:t>2025</w:t>
      </w:r>
      <w:r>
        <w:rPr>
          <w:rFonts w:ascii="TimesNewRoman" w:eastAsia="黑体" w:hAnsi="TimesNewRoman" w:cs="TimesNewRoman"/>
          <w:sz w:val="32"/>
          <w:szCs w:val="32"/>
        </w:rPr>
        <w:t>年通用资产配置支出表的说明</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w:t>
      </w:r>
      <w:r w:rsidR="0083648D">
        <w:rPr>
          <w:rFonts w:ascii="TimesNewRoman" w:eastAsia="仿宋_GB2312" w:hAnsi="TimesNewRoman" w:cs="TimesNewRoman" w:hint="eastAsia"/>
          <w:bCs/>
          <w:sz w:val="32"/>
          <w:szCs w:val="32"/>
        </w:rPr>
        <w:t>3</w:t>
      </w:r>
      <w:r>
        <w:rPr>
          <w:rFonts w:ascii="TimesNewRoman" w:eastAsia="仿宋_GB2312" w:hAnsi="TimesNewRoman" w:cs="TimesNewRoman" w:hint="eastAsia"/>
          <w:bCs/>
          <w:sz w:val="32"/>
          <w:szCs w:val="32"/>
        </w:rPr>
        <w:t>、其他重要事项情况说明</w:t>
      </w:r>
    </w:p>
    <w:p w:rsidR="00C22284" w:rsidRDefault="00705CC2" w:rsidP="009D4293">
      <w:pPr>
        <w:pStyle w:val="a5"/>
        <w:adjustRightInd w:val="0"/>
        <w:snapToGrid w:val="0"/>
        <w:spacing w:line="40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第四部分</w:t>
      </w:r>
      <w:r>
        <w:rPr>
          <w:rFonts w:ascii="TimesNewRoman" w:eastAsia="仿宋_GB2312" w:hAnsi="TimesNewRoman" w:cs="TimesNewRoman" w:hint="eastAsia"/>
          <w:b/>
          <w:sz w:val="32"/>
          <w:szCs w:val="32"/>
        </w:rPr>
        <w:t xml:space="preserve"> </w:t>
      </w:r>
      <w:r>
        <w:rPr>
          <w:rFonts w:ascii="TimesNewRoman" w:eastAsia="仿宋_GB2312" w:hAnsi="TimesNewRoman" w:cs="TimesNewRoman" w:hint="eastAsia"/>
          <w:b/>
          <w:sz w:val="32"/>
          <w:szCs w:val="32"/>
        </w:rPr>
        <w:t>名词解释</w:t>
      </w:r>
    </w:p>
    <w:p w:rsidR="00C22284" w:rsidRDefault="00705CC2" w:rsidP="009D4293">
      <w:pPr>
        <w:pStyle w:val="a5"/>
        <w:adjustRightInd w:val="0"/>
        <w:snapToGrid w:val="0"/>
        <w:spacing w:line="40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第五部分</w:t>
      </w:r>
      <w:r>
        <w:rPr>
          <w:rFonts w:ascii="TimesNewRoman" w:eastAsia="仿宋_GB2312" w:hAnsi="TimesNewRoman" w:cs="TimesNewRoman" w:hint="eastAsia"/>
          <w:b/>
          <w:sz w:val="32"/>
          <w:szCs w:val="32"/>
        </w:rPr>
        <w:t xml:space="preserve"> </w:t>
      </w:r>
      <w:r>
        <w:rPr>
          <w:rFonts w:ascii="TimesNewRoman" w:eastAsia="仿宋_GB2312" w:hAnsi="TimesNewRoman" w:cs="TimesNewRoman" w:hint="eastAsia"/>
          <w:b/>
          <w:sz w:val="32"/>
          <w:szCs w:val="32"/>
        </w:rPr>
        <w:t>其它公开事项</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1</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年部门预算纳入绩效考评项目表</w:t>
      </w:r>
    </w:p>
    <w:p w:rsidR="00C22284" w:rsidRDefault="00705CC2">
      <w:pPr>
        <w:pStyle w:val="a5"/>
        <w:adjustRightInd w:val="0"/>
        <w:snapToGrid w:val="0"/>
        <w:spacing w:line="400" w:lineRule="exact"/>
        <w:ind w:firstLineChars="250" w:firstLine="800"/>
        <w:rPr>
          <w:rFonts w:ascii="TimesNewRoman" w:eastAsia="仿宋_GB2312" w:hAnsi="TimesNewRoman" w:cs="TimesNewRoman"/>
          <w:bCs/>
          <w:sz w:val="32"/>
          <w:szCs w:val="32"/>
        </w:rPr>
      </w:pPr>
      <w:r>
        <w:rPr>
          <w:rFonts w:ascii="TimesNewRoman" w:eastAsia="仿宋_GB2312" w:hAnsi="TimesNewRoman" w:cs="TimesNewRoman" w:hint="eastAsia"/>
          <w:bCs/>
          <w:sz w:val="32"/>
          <w:szCs w:val="32"/>
        </w:rPr>
        <w:t>2</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bCs/>
          <w:sz w:val="32"/>
          <w:szCs w:val="32"/>
        </w:rPr>
        <w:t>2025</w:t>
      </w:r>
      <w:r>
        <w:rPr>
          <w:rFonts w:ascii="TimesNewRoman" w:eastAsia="仿宋_GB2312" w:hAnsi="TimesNewRoman" w:cs="TimesNewRoman" w:hint="eastAsia"/>
          <w:bCs/>
          <w:sz w:val="32"/>
          <w:szCs w:val="32"/>
        </w:rPr>
        <w:t>年部门预算专项资金管理清单（专栏公开）</w:t>
      </w:r>
    </w:p>
    <w:p w:rsidR="00C22284" w:rsidRDefault="00C22284">
      <w:pPr>
        <w:pStyle w:val="a5"/>
        <w:adjustRightInd w:val="0"/>
        <w:snapToGrid w:val="0"/>
        <w:spacing w:line="400" w:lineRule="exact"/>
        <w:ind w:firstLineChars="250" w:firstLine="800"/>
        <w:rPr>
          <w:rFonts w:ascii="TimesNewRoman" w:eastAsia="仿宋_GB2312" w:hAnsi="TimesNewRoman" w:cs="TimesNewRoman"/>
          <w:bCs/>
          <w:sz w:val="32"/>
          <w:szCs w:val="32"/>
        </w:rPr>
      </w:pPr>
    </w:p>
    <w:p w:rsidR="00C22284" w:rsidRDefault="00C22284">
      <w:pPr>
        <w:pStyle w:val="a5"/>
        <w:adjustRightInd w:val="0"/>
        <w:snapToGrid w:val="0"/>
        <w:spacing w:line="400" w:lineRule="exact"/>
        <w:ind w:firstLineChars="250" w:firstLine="800"/>
        <w:rPr>
          <w:rFonts w:ascii="TimesNewRoman" w:eastAsia="仿宋_GB2312" w:hAnsi="TimesNewRoman" w:cs="TimesNewRoman"/>
          <w:bCs/>
          <w:sz w:val="32"/>
          <w:szCs w:val="32"/>
        </w:rPr>
      </w:pPr>
    </w:p>
    <w:p w:rsidR="00C22284" w:rsidRDefault="00C22284">
      <w:pPr>
        <w:pStyle w:val="a5"/>
        <w:adjustRightInd w:val="0"/>
        <w:snapToGrid w:val="0"/>
        <w:spacing w:line="400" w:lineRule="exact"/>
        <w:ind w:firstLineChars="250" w:firstLine="800"/>
        <w:rPr>
          <w:rFonts w:ascii="TimesNewRoman" w:eastAsia="仿宋_GB2312" w:hAnsi="TimesNewRoman" w:cs="TimesNewRoman"/>
          <w:bCs/>
          <w:sz w:val="32"/>
          <w:szCs w:val="32"/>
        </w:rPr>
      </w:pPr>
    </w:p>
    <w:p w:rsidR="00C22284" w:rsidRDefault="00705CC2">
      <w:pPr>
        <w:pStyle w:val="a5"/>
        <w:adjustRightInd w:val="0"/>
        <w:snapToGrid w:val="0"/>
        <w:spacing w:line="560" w:lineRule="exact"/>
        <w:jc w:val="center"/>
        <w:rPr>
          <w:rFonts w:ascii="TimesNewRoman" w:eastAsia="黑体" w:hAnsi="TimesNewRoman" w:cs="TimesNewRoman"/>
          <w:bCs/>
          <w:sz w:val="36"/>
          <w:szCs w:val="36"/>
        </w:rPr>
      </w:pPr>
      <w:r>
        <w:rPr>
          <w:rFonts w:ascii="TimesNewRoman" w:eastAsia="黑体" w:hAnsi="TimesNewRoman" w:cs="TimesNewRoman" w:hint="eastAsia"/>
          <w:bCs/>
          <w:sz w:val="36"/>
          <w:szCs w:val="36"/>
        </w:rPr>
        <w:t>第一部分</w:t>
      </w:r>
      <w:r>
        <w:rPr>
          <w:rFonts w:ascii="TimesNewRoman" w:eastAsia="黑体" w:hAnsi="TimesNewRoman" w:cs="TimesNewRoman" w:hint="eastAsia"/>
          <w:bCs/>
          <w:sz w:val="36"/>
          <w:szCs w:val="36"/>
        </w:rPr>
        <w:t xml:space="preserve"> </w:t>
      </w:r>
      <w:r>
        <w:rPr>
          <w:rFonts w:ascii="TimesNewRoman" w:eastAsia="黑体" w:hAnsi="TimesNewRoman" w:cs="TimesNewRoman" w:hint="eastAsia"/>
          <w:bCs/>
          <w:sz w:val="36"/>
          <w:szCs w:val="36"/>
        </w:rPr>
        <w:t>单位概况</w:t>
      </w:r>
    </w:p>
    <w:p w:rsidR="00C22284" w:rsidRDefault="00C22284"/>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一、主要职责</w:t>
      </w:r>
    </w:p>
    <w:p w:rsidR="00C22284" w:rsidRDefault="00705CC2">
      <w:pPr>
        <w:pStyle w:val="a5"/>
        <w:adjustRightInd w:val="0"/>
        <w:snapToGrid w:val="0"/>
        <w:spacing w:line="560" w:lineRule="exact"/>
        <w:ind w:firstLineChars="196" w:firstLine="627"/>
        <w:rPr>
          <w:rFonts w:ascii="TimesNewRoman" w:eastAsia="仿宋_GB2312" w:hAnsi="TimesNewRoman" w:cs="TimesNewRoman"/>
          <w:bCs/>
          <w:sz w:val="32"/>
          <w:szCs w:val="32"/>
        </w:rPr>
      </w:pPr>
      <w:r>
        <w:rPr>
          <w:rFonts w:ascii="TimesNewRoman" w:eastAsia="仿宋_GB2312" w:hAnsi="TimesNewRoman" w:cs="TimesNewRoman" w:hint="eastAsia"/>
          <w:bCs/>
          <w:sz w:val="32"/>
          <w:szCs w:val="32"/>
        </w:rPr>
        <w:t>贯彻执行国家、省、市人力资源和社会保障法律法规，负责处理市级管辖范围内的劳动人事争议案件；负责劳动人事争议法律、法规、政策咨询；负责对县、区劳动人事争议案件处理的业务指导；负责管理市级劳动人事争议仲裁案件的信息统计等；负责劳动保障维权投诉相关工作；依法调处劳动保障矛盾纠纷，组织处理有关突发事件等执法辅助性事务性工作；负责开展劳动保障书面审查和诚信等级评价，负责开展农民工工资支付保障具体事务性工作；负责对县区、开发园区开展劳动保障维权工作的业务指导。</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二、单位预算构成</w:t>
      </w:r>
    </w:p>
    <w:p w:rsidR="00C22284" w:rsidRDefault="00705CC2">
      <w:pPr>
        <w:pStyle w:val="a5"/>
        <w:adjustRightInd w:val="0"/>
        <w:snapToGrid w:val="0"/>
        <w:spacing w:line="560" w:lineRule="exact"/>
        <w:ind w:firstLineChars="196" w:firstLine="627"/>
        <w:rPr>
          <w:rFonts w:ascii="TimesNewRoman" w:eastAsia="仿宋_GB2312" w:hAnsi="TimesNewRoman" w:cs="TimesNewRoman"/>
          <w:sz w:val="32"/>
          <w:szCs w:val="32"/>
        </w:rPr>
      </w:pPr>
      <w:r>
        <w:rPr>
          <w:rFonts w:ascii="TimesNewRoman" w:eastAsia="仿宋_GB2312" w:hAnsi="TimesNewRoman" w:cs="TimesNewRoman" w:hint="eastAsia"/>
          <w:sz w:val="32"/>
          <w:szCs w:val="32"/>
        </w:rPr>
        <w:t>从预算单位构成看，</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sz w:val="32"/>
          <w:szCs w:val="32"/>
        </w:rPr>
        <w:t>2025</w:t>
      </w:r>
      <w:r>
        <w:rPr>
          <w:rFonts w:ascii="TimesNewRoman" w:eastAsia="仿宋_GB2312" w:hAnsi="TimesNewRoman" w:cs="TimesNewRoman" w:hint="eastAsia"/>
          <w:sz w:val="32"/>
          <w:szCs w:val="32"/>
        </w:rPr>
        <w:t>年度部门预算仅包括本级预算，无其他下属单位预算。</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三、</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年度主要工作任务</w:t>
      </w:r>
    </w:p>
    <w:p w:rsidR="00C22284" w:rsidRDefault="00705CC2">
      <w:pPr>
        <w:ind w:firstLineChars="200" w:firstLine="640"/>
        <w:rPr>
          <w:rFonts w:ascii="TimesNewRoman" w:eastAsia="仿宋_GB2312" w:hAnsi="TimesNewRoman" w:cs="TimesNewRoman"/>
          <w:bCs/>
          <w:kern w:val="0"/>
          <w:sz w:val="32"/>
          <w:szCs w:val="32"/>
        </w:rPr>
      </w:pPr>
      <w:r>
        <w:rPr>
          <w:rFonts w:ascii="TimesNewRoman" w:eastAsia="仿宋_GB2312" w:hAnsi="TimesNewRoman" w:cs="TimesNewRoman" w:hint="eastAsia"/>
          <w:bCs/>
          <w:kern w:val="0"/>
          <w:sz w:val="32"/>
          <w:szCs w:val="32"/>
        </w:rPr>
        <w:t>（一）加强系统行风建设，规范咨询、举报接待、仲裁申请等处置流程和行为，妥善处理市级管辖范围内的劳动人事争议案件；</w:t>
      </w:r>
    </w:p>
    <w:p w:rsidR="00C22284" w:rsidRDefault="00705CC2">
      <w:pPr>
        <w:ind w:firstLineChars="200" w:firstLine="640"/>
        <w:rPr>
          <w:rFonts w:ascii="TimesNewRoman" w:eastAsia="仿宋_GB2312" w:hAnsi="TimesNewRoman" w:cs="TimesNewRoman"/>
          <w:bCs/>
          <w:kern w:val="0"/>
          <w:sz w:val="32"/>
          <w:szCs w:val="32"/>
        </w:rPr>
      </w:pPr>
      <w:r>
        <w:rPr>
          <w:rFonts w:ascii="TimesNewRoman" w:eastAsia="仿宋_GB2312" w:hAnsi="TimesNewRoman" w:cs="TimesNewRoman" w:hint="eastAsia"/>
          <w:bCs/>
          <w:kern w:val="0"/>
          <w:sz w:val="32"/>
          <w:szCs w:val="32"/>
        </w:rPr>
        <w:t>（二）加强对基层劳动保障维权工作的指导，处理劳动保障维权投诉相关工作，依法调处劳动保障矛盾纠纷，组织处理有关突发事件</w:t>
      </w:r>
      <w:r>
        <w:rPr>
          <w:rFonts w:ascii="TimesNewRoman" w:eastAsia="仿宋_GB2312" w:hAnsi="TimesNewRoman" w:cs="TimesNewRoman" w:hint="eastAsia"/>
          <w:bCs/>
          <w:kern w:val="0"/>
          <w:sz w:val="32"/>
          <w:szCs w:val="32"/>
        </w:rPr>
        <w:lastRenderedPageBreak/>
        <w:t>等执法辅助性事务性工作；</w:t>
      </w:r>
    </w:p>
    <w:p w:rsidR="00C22284" w:rsidRDefault="00705CC2">
      <w:pPr>
        <w:ind w:firstLineChars="200" w:firstLine="640"/>
        <w:rPr>
          <w:rFonts w:ascii="TimesNewRoman" w:eastAsia="仿宋_GB2312" w:hAnsi="TimesNewRoman" w:cs="TimesNewRoman"/>
          <w:bCs/>
          <w:kern w:val="0"/>
          <w:sz w:val="32"/>
          <w:szCs w:val="32"/>
        </w:rPr>
      </w:pPr>
      <w:r>
        <w:rPr>
          <w:rFonts w:ascii="TimesNewRoman" w:eastAsia="仿宋_GB2312" w:hAnsi="TimesNewRoman" w:cs="TimesNewRoman" w:hint="eastAsia"/>
          <w:bCs/>
          <w:kern w:val="0"/>
          <w:sz w:val="32"/>
          <w:szCs w:val="32"/>
        </w:rPr>
        <w:t>（三）持续开展“流动仲裁庭”及“百名仲裁员服务千家企业活动”，降低劳动争议双方维权成本；</w:t>
      </w:r>
    </w:p>
    <w:p w:rsidR="00C22284" w:rsidRDefault="00705CC2">
      <w:pPr>
        <w:ind w:firstLineChars="200" w:firstLine="640"/>
        <w:rPr>
          <w:rFonts w:ascii="TimesNewRoman" w:eastAsia="仿宋_GB2312" w:hAnsi="TimesNewRoman" w:cs="TimesNewRoman"/>
          <w:bCs/>
          <w:kern w:val="0"/>
          <w:sz w:val="32"/>
          <w:szCs w:val="32"/>
        </w:rPr>
      </w:pPr>
      <w:r>
        <w:rPr>
          <w:rFonts w:ascii="TimesNewRoman" w:eastAsia="仿宋_GB2312" w:hAnsi="TimesNewRoman" w:cs="TimesNewRoman" w:hint="eastAsia"/>
          <w:bCs/>
          <w:kern w:val="0"/>
          <w:sz w:val="32"/>
          <w:szCs w:val="32"/>
        </w:rPr>
        <w:t>（四）开展劳动保障书面审查和诚信等级评价；</w:t>
      </w:r>
    </w:p>
    <w:p w:rsidR="00C22284" w:rsidRDefault="00705CC2">
      <w:pPr>
        <w:ind w:firstLineChars="200" w:firstLine="640"/>
        <w:rPr>
          <w:rFonts w:ascii="TimesNewRoman" w:eastAsia="仿宋_GB2312" w:hAnsi="TimesNewRoman" w:cs="TimesNewRoman"/>
          <w:bCs/>
          <w:kern w:val="0"/>
          <w:sz w:val="32"/>
          <w:szCs w:val="32"/>
        </w:rPr>
      </w:pPr>
      <w:r>
        <w:rPr>
          <w:rFonts w:ascii="TimesNewRoman" w:eastAsia="仿宋_GB2312" w:hAnsi="TimesNewRoman" w:cs="TimesNewRoman" w:hint="eastAsia"/>
          <w:bCs/>
          <w:kern w:val="0"/>
          <w:sz w:val="32"/>
          <w:szCs w:val="32"/>
        </w:rPr>
        <w:t>（五）开展农民工工资支付保障具体事务性工作。</w:t>
      </w:r>
      <w:bookmarkStart w:id="0" w:name="_GoBack"/>
      <w:bookmarkEnd w:id="0"/>
    </w:p>
    <w:p w:rsidR="00C22284" w:rsidRDefault="00C22284">
      <w:pPr>
        <w:rPr>
          <w:rFonts w:ascii="TimesNewRoman" w:eastAsia="仿宋_GB2312" w:hAnsi="TimesNewRoman" w:cs="TimesNewRoman"/>
          <w:bCs/>
          <w:kern w:val="0"/>
          <w:sz w:val="32"/>
          <w:szCs w:val="32"/>
        </w:rPr>
      </w:pPr>
    </w:p>
    <w:p w:rsidR="00C22284" w:rsidRDefault="00705CC2">
      <w:pPr>
        <w:pStyle w:val="a5"/>
        <w:adjustRightInd w:val="0"/>
        <w:snapToGrid w:val="0"/>
        <w:spacing w:line="560" w:lineRule="exact"/>
        <w:jc w:val="center"/>
        <w:rPr>
          <w:rFonts w:ascii="TimesNewRoman" w:eastAsia="黑体" w:hAnsi="TimesNewRoman" w:cs="TimesNewRoman"/>
          <w:bCs/>
          <w:sz w:val="36"/>
          <w:szCs w:val="36"/>
        </w:rPr>
      </w:pPr>
      <w:r>
        <w:rPr>
          <w:rFonts w:ascii="TimesNewRoman" w:eastAsia="黑体" w:hAnsi="TimesNewRoman" w:cs="TimesNewRoman" w:hint="eastAsia"/>
          <w:bCs/>
          <w:sz w:val="36"/>
          <w:szCs w:val="36"/>
        </w:rPr>
        <w:t>第二部分</w:t>
      </w:r>
      <w:r>
        <w:rPr>
          <w:rFonts w:ascii="TimesNewRoman" w:eastAsia="黑体" w:hAnsi="TimesNewRoman" w:cs="TimesNewRoman" w:hint="eastAsia"/>
          <w:bCs/>
          <w:sz w:val="36"/>
          <w:szCs w:val="36"/>
        </w:rPr>
        <w:t xml:space="preserve"> 2025</w:t>
      </w:r>
      <w:r>
        <w:rPr>
          <w:rFonts w:ascii="TimesNewRoman" w:eastAsia="黑体" w:hAnsi="TimesNewRoman" w:cs="TimesNewRoman" w:hint="eastAsia"/>
          <w:bCs/>
          <w:sz w:val="36"/>
          <w:szCs w:val="36"/>
        </w:rPr>
        <w:t>年单位预算表</w:t>
      </w:r>
    </w:p>
    <w:p w:rsidR="00C22284" w:rsidRDefault="00705CC2">
      <w:pPr>
        <w:pStyle w:val="a5"/>
        <w:adjustRightInd w:val="0"/>
        <w:snapToGrid w:val="0"/>
        <w:spacing w:line="560" w:lineRule="exact"/>
        <w:ind w:firstLineChars="196" w:firstLine="627"/>
        <w:jc w:val="center"/>
        <w:rPr>
          <w:rFonts w:ascii="TimesNewRoman" w:eastAsia="仿宋_GB2312" w:hAnsi="TimesNewRoman" w:cs="TimesNewRoman"/>
          <w:bCs/>
          <w:sz w:val="32"/>
          <w:szCs w:val="32"/>
        </w:rPr>
      </w:pPr>
      <w:r>
        <w:rPr>
          <w:rFonts w:ascii="TimesNewRoman" w:eastAsia="仿宋_GB2312" w:hAnsi="TimesNewRoman" w:cs="TimesNewRoman" w:hint="eastAsia"/>
          <w:bCs/>
          <w:sz w:val="32"/>
          <w:szCs w:val="32"/>
        </w:rPr>
        <w:t>见附件</w:t>
      </w:r>
      <w:r>
        <w:rPr>
          <w:rFonts w:ascii="TimesNewRoman" w:eastAsia="仿宋_GB2312" w:hAnsi="TimesNewRoman" w:cs="TimesNewRoman" w:hint="eastAsia"/>
          <w:bCs/>
          <w:sz w:val="32"/>
          <w:szCs w:val="32"/>
        </w:rPr>
        <w:t>1-2</w:t>
      </w:r>
    </w:p>
    <w:p w:rsidR="00C22284" w:rsidRDefault="00C22284"/>
    <w:p w:rsidR="00C22284" w:rsidRDefault="00705CC2">
      <w:pPr>
        <w:pStyle w:val="a5"/>
        <w:adjustRightInd w:val="0"/>
        <w:snapToGrid w:val="0"/>
        <w:spacing w:line="560" w:lineRule="exact"/>
        <w:jc w:val="center"/>
        <w:rPr>
          <w:rFonts w:ascii="TimesNewRoman" w:eastAsia="黑体" w:hAnsi="TimesNewRoman" w:cs="TimesNewRoman"/>
          <w:bCs/>
          <w:sz w:val="36"/>
          <w:szCs w:val="36"/>
        </w:rPr>
      </w:pPr>
      <w:r>
        <w:rPr>
          <w:rFonts w:ascii="TimesNewRoman" w:eastAsia="黑体" w:hAnsi="TimesNewRoman" w:cs="TimesNewRoman" w:hint="eastAsia"/>
          <w:bCs/>
          <w:sz w:val="36"/>
          <w:szCs w:val="36"/>
        </w:rPr>
        <w:t>第三部分</w:t>
      </w:r>
      <w:r>
        <w:rPr>
          <w:rFonts w:ascii="TimesNewRoman" w:eastAsia="黑体" w:hAnsi="TimesNewRoman" w:cs="TimesNewRoman" w:hint="eastAsia"/>
          <w:bCs/>
          <w:sz w:val="36"/>
          <w:szCs w:val="36"/>
        </w:rPr>
        <w:t xml:space="preserve"> 2025</w:t>
      </w:r>
      <w:r>
        <w:rPr>
          <w:rFonts w:ascii="TimesNewRoman" w:eastAsia="黑体" w:hAnsi="TimesNewRoman" w:cs="TimesNewRoman" w:hint="eastAsia"/>
          <w:bCs/>
          <w:sz w:val="36"/>
          <w:szCs w:val="36"/>
        </w:rPr>
        <w:t>年单位预算情况说明</w:t>
      </w:r>
    </w:p>
    <w:p w:rsidR="00C22284" w:rsidRDefault="00C22284"/>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一、关于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年收支总表的说明</w:t>
      </w:r>
    </w:p>
    <w:p w:rsidR="00C22284" w:rsidRDefault="00705CC2">
      <w:pPr>
        <w:pStyle w:val="a5"/>
        <w:adjustRightInd w:val="0"/>
        <w:snapToGrid w:val="0"/>
        <w:spacing w:line="560" w:lineRule="exact"/>
        <w:ind w:firstLineChars="196" w:firstLine="627"/>
        <w:rPr>
          <w:rFonts w:ascii="TimesNewRoman" w:eastAsia="仿宋_GB2312" w:hAnsi="TimesNewRoman" w:cs="TimesNewRoman"/>
          <w:sz w:val="32"/>
          <w:szCs w:val="32"/>
        </w:rPr>
      </w:pPr>
      <w:r>
        <w:rPr>
          <w:rFonts w:ascii="TimesNewRoman" w:eastAsia="仿宋_GB2312" w:hAnsi="TimesNewRoman" w:cs="TimesNewRoman" w:hint="eastAsia"/>
          <w:sz w:val="32"/>
          <w:szCs w:val="32"/>
        </w:rPr>
        <w:t>按照综合预算的原则，</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sz w:val="32"/>
          <w:szCs w:val="32"/>
        </w:rPr>
        <w:t>所有收入和支出均纳入单位预算管理。</w:t>
      </w: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sz w:val="32"/>
          <w:szCs w:val="32"/>
        </w:rPr>
        <w:t>2025</w:t>
      </w:r>
      <w:r>
        <w:rPr>
          <w:rFonts w:ascii="TimesNewRoman" w:eastAsia="仿宋_GB2312" w:hAnsi="TimesNewRoman" w:cs="TimesNewRoman" w:hint="eastAsia"/>
          <w:sz w:val="32"/>
          <w:szCs w:val="32"/>
        </w:rPr>
        <w:t>年收支总预算</w:t>
      </w:r>
      <w:r>
        <w:rPr>
          <w:rFonts w:ascii="TimesNewRoman" w:eastAsia="仿宋_GB2312" w:hAnsi="TimesNewRoman" w:cs="TimesNewRoman" w:hint="eastAsia"/>
          <w:sz w:val="32"/>
          <w:szCs w:val="32"/>
        </w:rPr>
        <w:t>330.43</w:t>
      </w:r>
      <w:r>
        <w:rPr>
          <w:rFonts w:ascii="TimesNewRoman" w:eastAsia="仿宋_GB2312" w:hAnsi="TimesNewRoman" w:cs="TimesNewRoman" w:hint="eastAsia"/>
          <w:sz w:val="32"/>
          <w:szCs w:val="32"/>
        </w:rPr>
        <w:t>万元，</w:t>
      </w:r>
      <w:r>
        <w:rPr>
          <w:rFonts w:ascii="TimesNewRoman" w:eastAsia="楷体_GB2312" w:hAnsi="TimesNewRoman" w:cs="TimesNewRoman" w:hint="eastAsia"/>
          <w:color w:val="000000" w:themeColor="text1"/>
          <w:sz w:val="32"/>
          <w:szCs w:val="32"/>
        </w:rPr>
        <w:t>收</w:t>
      </w:r>
      <w:r>
        <w:rPr>
          <w:rFonts w:ascii="TimesNewRoman" w:eastAsia="仿宋_GB2312" w:hAnsi="TimesNewRoman" w:cs="TimesNewRoman" w:hint="eastAsia"/>
          <w:bCs/>
          <w:sz w:val="32"/>
          <w:szCs w:val="32"/>
        </w:rPr>
        <w:t>入全部是一般公共预算拨款收入</w:t>
      </w:r>
      <w:r>
        <w:rPr>
          <w:rFonts w:ascii="TimesNewRoman" w:eastAsia="仿宋_GB2312" w:hAnsi="TimesNewRoman" w:cs="TimesNewRoman" w:hint="eastAsia"/>
          <w:bCs/>
          <w:sz w:val="32"/>
          <w:szCs w:val="32"/>
        </w:rPr>
        <w:t>330.43</w:t>
      </w:r>
      <w:r>
        <w:rPr>
          <w:rFonts w:ascii="TimesNewRoman" w:eastAsia="仿宋_GB2312" w:hAnsi="TimesNewRoman" w:cs="TimesNewRoman" w:hint="eastAsia"/>
          <w:bCs/>
          <w:sz w:val="32"/>
          <w:szCs w:val="32"/>
        </w:rPr>
        <w:t>万元</w:t>
      </w:r>
      <w:r>
        <w:rPr>
          <w:rFonts w:ascii="TimesNewRoman" w:eastAsia="仿宋_GB2312" w:hAnsi="TimesNewRoman" w:cs="TimesNewRoman" w:hint="eastAsia"/>
          <w:sz w:val="32"/>
          <w:szCs w:val="32"/>
        </w:rPr>
        <w:t>，支出包括：社会保障和就业支出、卫生健康支出、住房保障支出。</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二、关于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年收入总表的说明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年收入预算</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万元，其中，本年收入</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w:t>
      </w:r>
    </w:p>
    <w:p w:rsidR="00C22284" w:rsidRDefault="00705CC2" w:rsidP="009D4293">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
          <w:kern w:val="0"/>
          <w:sz w:val="32"/>
          <w:szCs w:val="32"/>
        </w:rPr>
        <w:t>（一）本年收入</w:t>
      </w:r>
      <w:r>
        <w:rPr>
          <w:rFonts w:ascii="TimesNewRoman" w:eastAsia="仿宋_GB2312" w:hAnsi="TimesNewRoman" w:cs="TimesNewRoman" w:hint="eastAsia"/>
          <w:b/>
          <w:kern w:val="0"/>
          <w:sz w:val="32"/>
          <w:szCs w:val="32"/>
        </w:rPr>
        <w:t>330.43</w:t>
      </w:r>
      <w:r>
        <w:rPr>
          <w:rFonts w:ascii="TimesNewRoman" w:eastAsia="仿宋_GB2312" w:hAnsi="TimesNewRoman" w:cs="TimesNewRoman" w:hint="eastAsia"/>
          <w:b/>
          <w:kern w:val="0"/>
          <w:sz w:val="32"/>
          <w:szCs w:val="32"/>
        </w:rPr>
        <w:t>万元，</w:t>
      </w:r>
      <w:r>
        <w:rPr>
          <w:rFonts w:ascii="TimesNewRoman" w:eastAsia="仿宋_GB2312" w:hAnsi="TimesNewRoman" w:cs="TimesNewRoman" w:hint="eastAsia"/>
          <w:kern w:val="0"/>
          <w:sz w:val="32"/>
          <w:szCs w:val="32"/>
        </w:rPr>
        <w:t>主要包括：一般公共预算拨款收</w:t>
      </w:r>
      <w:r>
        <w:rPr>
          <w:rFonts w:ascii="TimesNewRoman" w:eastAsia="仿宋_GB2312" w:hAnsi="TimesNewRoman" w:cs="TimesNewRoman" w:hint="eastAsia"/>
          <w:kern w:val="0"/>
          <w:sz w:val="32"/>
          <w:szCs w:val="32"/>
        </w:rPr>
        <w:lastRenderedPageBreak/>
        <w:t>入</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100%</w:t>
      </w:r>
      <w:r>
        <w:rPr>
          <w:rFonts w:ascii="TimesNewRoman" w:eastAsia="仿宋_GB2312" w:hAnsi="TimesNewRoman" w:cs="TimesNewRoman" w:hint="eastAsia"/>
          <w:kern w:val="0"/>
          <w:sz w:val="32"/>
          <w:szCs w:val="32"/>
        </w:rPr>
        <w:t>，比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214.68</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185.47%</w:t>
      </w:r>
      <w:r>
        <w:rPr>
          <w:rFonts w:ascii="TimesNewRoman" w:eastAsia="仿宋_GB2312" w:hAnsi="TimesNewRoman" w:cs="TimesNewRoman" w:hint="eastAsia"/>
          <w:kern w:val="0"/>
          <w:sz w:val="32"/>
          <w:szCs w:val="32"/>
        </w:rPr>
        <w:t>，原因主要是机构改革原淮北市劳动保障监察综合执法支队与我单位合并造成各项经费增加；政府性基金预算拨款收入</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，原因主要是淮北市劳动人事争议仲裁院</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年均无政府性基金预算拨款收入；财政专户管理资金收入</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，原因主要是淮北市劳动人事争议仲裁院</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年均无财政专户管理资金收入。</w:t>
      </w:r>
    </w:p>
    <w:p w:rsidR="00C22284" w:rsidRDefault="00705CC2">
      <w:pPr>
        <w:ind w:firstLineChars="200" w:firstLine="640"/>
        <w:rPr>
          <w:rFonts w:ascii="TimesNewRoman" w:eastAsia="黑体" w:hAnsi="TimesNewRoman" w:cs="TimesNewRoman"/>
          <w:bCs/>
          <w:kern w:val="0"/>
          <w:sz w:val="32"/>
          <w:szCs w:val="32"/>
        </w:rPr>
      </w:pPr>
      <w:r>
        <w:rPr>
          <w:rFonts w:ascii="TimesNewRoman" w:eastAsia="黑体" w:hAnsi="TimesNewRoman" w:cs="TimesNewRoman" w:hint="eastAsia"/>
          <w:bCs/>
          <w:kern w:val="0"/>
          <w:sz w:val="32"/>
          <w:szCs w:val="32"/>
        </w:rPr>
        <w:t>三、关于</w:t>
      </w:r>
      <w:r>
        <w:rPr>
          <w:rFonts w:ascii="TimesNewRoman" w:eastAsia="黑体" w:hAnsi="TimesNewRoman" w:cs="TimesNewRoman" w:hint="eastAsia"/>
          <w:bCs/>
          <w:kern w:val="0"/>
          <w:sz w:val="32"/>
          <w:szCs w:val="32"/>
        </w:rPr>
        <w:t>2025</w:t>
      </w:r>
      <w:r>
        <w:rPr>
          <w:rFonts w:ascii="TimesNewRoman" w:eastAsia="黑体" w:hAnsi="TimesNewRoman" w:cs="TimesNewRoman" w:hint="eastAsia"/>
          <w:bCs/>
          <w:kern w:val="0"/>
          <w:sz w:val="32"/>
          <w:szCs w:val="32"/>
        </w:rPr>
        <w:t>年支出总表的说明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年支出预算</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214.68</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185.47%</w:t>
      </w:r>
      <w:r>
        <w:rPr>
          <w:rFonts w:ascii="TimesNewRoman" w:eastAsia="仿宋_GB2312" w:hAnsi="TimesNewRoman" w:cs="TimesNewRoman" w:hint="eastAsia"/>
          <w:kern w:val="0"/>
          <w:sz w:val="32"/>
          <w:szCs w:val="32"/>
        </w:rPr>
        <w:t>，原因主要是机构改革原淮北市劳动保障监察综合执法支队与我单位合并造成各项经费增加。其中，基本支出</w:t>
      </w:r>
      <w:r>
        <w:rPr>
          <w:rFonts w:ascii="TimesNewRoman" w:eastAsia="仿宋_GB2312" w:hAnsi="TimesNewRoman" w:cs="TimesNewRoman" w:hint="eastAsia"/>
          <w:kern w:val="0"/>
          <w:sz w:val="32"/>
          <w:szCs w:val="32"/>
        </w:rPr>
        <w:t>266.43</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80.63%</w:t>
      </w:r>
      <w:r>
        <w:rPr>
          <w:rFonts w:ascii="TimesNewRoman" w:eastAsia="仿宋_GB2312" w:hAnsi="TimesNewRoman" w:cs="TimesNewRoman" w:hint="eastAsia"/>
          <w:kern w:val="0"/>
          <w:sz w:val="32"/>
          <w:szCs w:val="32"/>
        </w:rPr>
        <w:t>，主要用于保障机构日常运转、完成日常工作任务；项目支出</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19.37%</w:t>
      </w:r>
      <w:r>
        <w:rPr>
          <w:rFonts w:ascii="TimesNewRoman" w:eastAsia="仿宋_GB2312" w:hAnsi="TimesNewRoman" w:cs="TimesNewRoman" w:hint="eastAsia"/>
          <w:kern w:val="0"/>
          <w:sz w:val="32"/>
          <w:szCs w:val="32"/>
        </w:rPr>
        <w:t>，主要用于</w:t>
      </w:r>
      <w:r>
        <w:rPr>
          <w:rFonts w:ascii="仿宋_GB2312" w:eastAsia="仿宋_GB2312" w:hAnsi="仿宋" w:hint="eastAsia"/>
          <w:sz w:val="32"/>
          <w:szCs w:val="32"/>
        </w:rPr>
        <w:t>劳动仲裁办案经费支出、农民工工资清欠经费</w:t>
      </w:r>
      <w:r>
        <w:rPr>
          <w:rFonts w:ascii="TimesNewRoman" w:eastAsia="仿宋_GB2312" w:hAnsi="TimesNewRoman" w:cs="TimesNewRoman" w:hint="eastAsia"/>
          <w:kern w:val="0"/>
          <w:sz w:val="32"/>
          <w:szCs w:val="32"/>
        </w:rPr>
        <w:t>。</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四、关于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年财政拨款收支总表的说明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年财政拨款收支预算</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万元。收入按资金来源分为：一般公共预算拨款</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万元、政府性基金预算拨款</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万元；按资金年度分为：本年财政拨款收入</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万元。支出按功能分类分为：社会保障和就业支出</w:t>
      </w:r>
      <w:r>
        <w:rPr>
          <w:rFonts w:ascii="TimesNewRoman" w:eastAsia="仿宋_GB2312" w:hAnsi="TimesNewRoman" w:cs="TimesNewRoman" w:hint="eastAsia"/>
          <w:kern w:val="0"/>
          <w:sz w:val="32"/>
          <w:szCs w:val="32"/>
        </w:rPr>
        <w:t>277.65</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84.03%</w:t>
      </w:r>
      <w:r>
        <w:rPr>
          <w:rFonts w:ascii="TimesNewRoman" w:eastAsia="仿宋_GB2312" w:hAnsi="TimesNewRoman" w:cs="TimesNewRoman" w:hint="eastAsia"/>
          <w:kern w:val="0"/>
          <w:sz w:val="32"/>
          <w:szCs w:val="32"/>
        </w:rPr>
        <w:t>；卫生健康支出</w:t>
      </w:r>
      <w:r>
        <w:rPr>
          <w:rFonts w:ascii="TimesNewRoman" w:eastAsia="仿宋_GB2312" w:hAnsi="TimesNewRoman" w:cs="TimesNewRoman" w:hint="eastAsia"/>
          <w:kern w:val="0"/>
          <w:sz w:val="32"/>
          <w:szCs w:val="32"/>
        </w:rPr>
        <w:t>11.24</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3.4%</w:t>
      </w:r>
      <w:r>
        <w:rPr>
          <w:rFonts w:ascii="TimesNewRoman" w:eastAsia="仿宋_GB2312" w:hAnsi="TimesNewRoman" w:cs="TimesNewRoman" w:hint="eastAsia"/>
          <w:kern w:val="0"/>
          <w:sz w:val="32"/>
          <w:szCs w:val="32"/>
        </w:rPr>
        <w:t>；住房保障支出</w:t>
      </w:r>
      <w:r>
        <w:rPr>
          <w:rFonts w:ascii="TimesNewRoman" w:eastAsia="仿宋_GB2312" w:hAnsi="TimesNewRoman" w:cs="TimesNewRoman" w:hint="eastAsia"/>
          <w:kern w:val="0"/>
          <w:sz w:val="32"/>
          <w:szCs w:val="32"/>
        </w:rPr>
        <w:t>41.54</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12.57%</w:t>
      </w:r>
      <w:r>
        <w:rPr>
          <w:rFonts w:ascii="TimesNewRoman" w:eastAsia="仿宋_GB2312" w:hAnsi="TimesNewRoman" w:cs="TimesNewRoman" w:hint="eastAsia"/>
          <w:kern w:val="0"/>
          <w:sz w:val="32"/>
          <w:szCs w:val="32"/>
        </w:rPr>
        <w:t>。</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lastRenderedPageBreak/>
        <w:t>五、关于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年一般公共预算支出表的说明</w:t>
      </w:r>
    </w:p>
    <w:p w:rsidR="00C22284" w:rsidRDefault="00705CC2" w:rsidP="009D4293">
      <w:pPr>
        <w:pStyle w:val="a5"/>
        <w:adjustRightInd w:val="0"/>
        <w:snapToGrid w:val="0"/>
        <w:spacing w:line="560" w:lineRule="exact"/>
        <w:ind w:firstLineChars="196" w:firstLine="628"/>
        <w:rPr>
          <w:rFonts w:ascii="TimesNewRoman" w:eastAsia="楷体_GB2312" w:hAnsi="TimesNewRoman" w:cs="TimesNewRoman"/>
          <w:b/>
          <w:sz w:val="32"/>
          <w:szCs w:val="32"/>
        </w:rPr>
      </w:pPr>
      <w:r>
        <w:rPr>
          <w:rFonts w:ascii="TimesNewRoman" w:eastAsia="楷体_GB2312" w:hAnsi="TimesNewRoman" w:cs="TimesNewRoman" w:hint="eastAsia"/>
          <w:b/>
          <w:sz w:val="32"/>
          <w:szCs w:val="32"/>
        </w:rPr>
        <w:t>（一）一般公共预算支出规模变化情况。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年一般公共预算支出</w:t>
      </w:r>
      <w:r>
        <w:rPr>
          <w:rFonts w:ascii="TimesNewRoman" w:eastAsia="仿宋_GB2312" w:hAnsi="TimesNewRoman" w:cs="TimesNewRoman" w:hint="eastAsia"/>
          <w:kern w:val="0"/>
          <w:sz w:val="32"/>
          <w:szCs w:val="32"/>
        </w:rPr>
        <w:t>330.43</w:t>
      </w:r>
      <w:r>
        <w:rPr>
          <w:rFonts w:ascii="TimesNewRoman" w:eastAsia="仿宋_GB2312" w:hAnsi="TimesNewRoman" w:cs="TimesNewRoman" w:hint="eastAsia"/>
          <w:kern w:val="0"/>
          <w:sz w:val="32"/>
          <w:szCs w:val="32"/>
        </w:rPr>
        <w:t>万元，比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214.68</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185.47%</w:t>
      </w:r>
      <w:r>
        <w:rPr>
          <w:rFonts w:ascii="TimesNewRoman" w:eastAsia="仿宋_GB2312" w:hAnsi="TimesNewRoman" w:cs="TimesNewRoman" w:hint="eastAsia"/>
          <w:kern w:val="0"/>
          <w:sz w:val="32"/>
          <w:szCs w:val="32"/>
        </w:rPr>
        <w:t>，主要原因是机构改革原淮北市劳动保障监察综合执法支队与我单位合并造成各项经费增加。</w:t>
      </w:r>
    </w:p>
    <w:p w:rsidR="00C22284" w:rsidRDefault="00705CC2" w:rsidP="009D4293">
      <w:pPr>
        <w:ind w:firstLineChars="200" w:firstLine="640"/>
        <w:rPr>
          <w:rFonts w:ascii="TimesNewRoman" w:eastAsia="楷体_GB2312" w:hAnsi="TimesNewRoman" w:cs="TimesNewRoman"/>
          <w:b/>
          <w:sz w:val="32"/>
          <w:szCs w:val="32"/>
        </w:rPr>
      </w:pPr>
      <w:r>
        <w:rPr>
          <w:rFonts w:ascii="TimesNewRoman" w:eastAsia="楷体_GB2312" w:hAnsi="TimesNewRoman" w:cs="TimesNewRoman" w:hint="eastAsia"/>
          <w:b/>
          <w:sz w:val="32"/>
          <w:szCs w:val="32"/>
        </w:rPr>
        <w:t>（二）一般公共预算支出结构情况。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社会保障和就业支出</w:t>
      </w:r>
      <w:r>
        <w:rPr>
          <w:rFonts w:ascii="TimesNewRoman" w:eastAsia="仿宋_GB2312" w:hAnsi="TimesNewRoman" w:cs="TimesNewRoman" w:hint="eastAsia"/>
          <w:kern w:val="0"/>
          <w:sz w:val="32"/>
          <w:szCs w:val="32"/>
        </w:rPr>
        <w:t>277.65</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84.03%</w:t>
      </w:r>
      <w:r>
        <w:rPr>
          <w:rFonts w:ascii="TimesNewRoman" w:eastAsia="仿宋_GB2312" w:hAnsi="TimesNewRoman" w:cs="TimesNewRoman" w:hint="eastAsia"/>
          <w:kern w:val="0"/>
          <w:sz w:val="32"/>
          <w:szCs w:val="32"/>
        </w:rPr>
        <w:t>；卫生健康支出</w:t>
      </w:r>
      <w:r>
        <w:rPr>
          <w:rFonts w:ascii="TimesNewRoman" w:eastAsia="仿宋_GB2312" w:hAnsi="TimesNewRoman" w:cs="TimesNewRoman" w:hint="eastAsia"/>
          <w:kern w:val="0"/>
          <w:sz w:val="32"/>
          <w:szCs w:val="32"/>
        </w:rPr>
        <w:t>11.24</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3.4%</w:t>
      </w:r>
      <w:r>
        <w:rPr>
          <w:rFonts w:ascii="TimesNewRoman" w:eastAsia="仿宋_GB2312" w:hAnsi="TimesNewRoman" w:cs="TimesNewRoman" w:hint="eastAsia"/>
          <w:kern w:val="0"/>
          <w:sz w:val="32"/>
          <w:szCs w:val="32"/>
        </w:rPr>
        <w:t>；住房保障支出</w:t>
      </w:r>
      <w:r>
        <w:rPr>
          <w:rFonts w:ascii="TimesNewRoman" w:eastAsia="仿宋_GB2312" w:hAnsi="TimesNewRoman" w:cs="TimesNewRoman" w:hint="eastAsia"/>
          <w:kern w:val="0"/>
          <w:sz w:val="32"/>
          <w:szCs w:val="32"/>
        </w:rPr>
        <w:t>41.54</w:t>
      </w:r>
      <w:r>
        <w:rPr>
          <w:rFonts w:ascii="TimesNewRoman" w:eastAsia="仿宋_GB2312" w:hAnsi="TimesNewRoman" w:cs="TimesNewRoman" w:hint="eastAsia"/>
          <w:kern w:val="0"/>
          <w:sz w:val="32"/>
          <w:szCs w:val="32"/>
        </w:rPr>
        <w:t>万元，占</w:t>
      </w:r>
      <w:r>
        <w:rPr>
          <w:rFonts w:ascii="TimesNewRoman" w:eastAsia="仿宋_GB2312" w:hAnsi="TimesNewRoman" w:cs="TimesNewRoman" w:hint="eastAsia"/>
          <w:kern w:val="0"/>
          <w:sz w:val="32"/>
          <w:szCs w:val="32"/>
        </w:rPr>
        <w:t>12.57%</w:t>
      </w:r>
      <w:r>
        <w:rPr>
          <w:rFonts w:ascii="TimesNewRoman" w:eastAsia="仿宋_GB2312" w:hAnsi="TimesNewRoman" w:cs="TimesNewRoman" w:hint="eastAsia"/>
          <w:kern w:val="0"/>
          <w:sz w:val="32"/>
          <w:szCs w:val="32"/>
        </w:rPr>
        <w:t>。</w:t>
      </w:r>
    </w:p>
    <w:p w:rsidR="00C22284" w:rsidRDefault="00705CC2" w:rsidP="009D4293">
      <w:pPr>
        <w:pStyle w:val="a5"/>
        <w:adjustRightInd w:val="0"/>
        <w:snapToGrid w:val="0"/>
        <w:spacing w:line="560" w:lineRule="exact"/>
        <w:ind w:firstLineChars="196" w:firstLine="628"/>
        <w:rPr>
          <w:rFonts w:ascii="TimesNewRoman" w:eastAsia="楷体_GB2312" w:hAnsi="TimesNewRoman" w:cs="TimesNewRoman"/>
          <w:b/>
          <w:sz w:val="32"/>
          <w:szCs w:val="32"/>
        </w:rPr>
      </w:pPr>
      <w:r>
        <w:rPr>
          <w:rFonts w:ascii="TimesNewRoman" w:eastAsia="楷体_GB2312" w:hAnsi="TimesNewRoman" w:cs="TimesNewRoman" w:hint="eastAsia"/>
          <w:b/>
          <w:sz w:val="32"/>
          <w:szCs w:val="32"/>
        </w:rPr>
        <w:t>（三）一般公共预算支出具体使用情况。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kern w:val="0"/>
          <w:sz w:val="32"/>
          <w:szCs w:val="32"/>
        </w:rPr>
        <w:t>1</w:t>
      </w:r>
      <w:r>
        <w:rPr>
          <w:rFonts w:ascii="TimesNewRoman" w:eastAsia="仿宋_GB2312" w:hAnsi="TimesNewRoman" w:cs="TimesNewRoman" w:hint="eastAsia"/>
          <w:kern w:val="0"/>
          <w:sz w:val="32"/>
          <w:szCs w:val="32"/>
        </w:rPr>
        <w:t>、社会保障和就业支出（类）人力资源和社会保障管理事务（款）一般行政管理事务（项）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44</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22%</w:t>
      </w:r>
      <w:r>
        <w:rPr>
          <w:rFonts w:ascii="TimesNewRoman" w:eastAsia="仿宋_GB2312" w:hAnsi="TimesNewRoman" w:cs="TimesNewRoman" w:hint="eastAsia"/>
          <w:kern w:val="0"/>
          <w:sz w:val="32"/>
          <w:szCs w:val="32"/>
        </w:rPr>
        <w:t>，原因主要是机构改革原淮北市劳动保障监察综合执法支队与我单位合并造成项目经费增加。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kern w:val="0"/>
          <w:sz w:val="32"/>
          <w:szCs w:val="32"/>
        </w:rPr>
        <w:t>2</w:t>
      </w:r>
      <w:r>
        <w:rPr>
          <w:rFonts w:ascii="TimesNewRoman" w:eastAsia="仿宋_GB2312" w:hAnsi="TimesNewRoman" w:cs="TimesNewRoman" w:hint="eastAsia"/>
          <w:kern w:val="0"/>
          <w:sz w:val="32"/>
          <w:szCs w:val="32"/>
        </w:rPr>
        <w:t>、社会保障和就业支出（类）人力资源和社会保障管理事务（款）劳动人事争议调解仲裁（项）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173.71</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110.18</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173.43%</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kern w:val="0"/>
          <w:sz w:val="32"/>
          <w:szCs w:val="32"/>
        </w:rPr>
        <w:t>3</w:t>
      </w:r>
      <w:r>
        <w:rPr>
          <w:rFonts w:ascii="TimesNewRoman" w:eastAsia="仿宋_GB2312" w:hAnsi="TimesNewRoman" w:cs="TimesNewRoman" w:hint="eastAsia"/>
          <w:kern w:val="0"/>
          <w:sz w:val="32"/>
          <w:szCs w:val="32"/>
        </w:rPr>
        <w:t>、社会保障和就业支出（类）行政事业单位养老支出（款）事业单位离退休（项）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2.78</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2.78</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100%</w:t>
      </w:r>
      <w:r>
        <w:rPr>
          <w:rFonts w:ascii="TimesNewRoman" w:eastAsia="仿宋_GB2312" w:hAnsi="TimesNewRoman" w:cs="TimesNewRoman" w:hint="eastAsia"/>
          <w:kern w:val="0"/>
          <w:sz w:val="32"/>
          <w:szCs w:val="32"/>
        </w:rPr>
        <w:t>，原因主要是新增</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名退休职工。</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lastRenderedPageBreak/>
        <w:t>4</w:t>
      </w:r>
      <w:r>
        <w:rPr>
          <w:rFonts w:ascii="TimesNewRoman" w:eastAsia="仿宋_GB2312" w:hAnsi="TimesNewRoman" w:cs="TimesNewRoman" w:hint="eastAsia"/>
          <w:kern w:val="0"/>
          <w:sz w:val="32"/>
          <w:szCs w:val="32"/>
        </w:rPr>
        <w:t>、社会保障和就业支出（类）行政事业单位养老支出（款）机关事业单位基本养老保险缴费支出（项）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24.26</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15.24</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168.96%</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、社会保障和就业支出（类）行政事业单位养老支出（款）机关事业单位职业年金缴费支出（项）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12.13</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7.62</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168.96%</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6</w:t>
      </w:r>
      <w:r>
        <w:rPr>
          <w:rFonts w:ascii="TimesNewRoman" w:eastAsia="仿宋_GB2312" w:hAnsi="TimesNewRoman" w:cs="TimesNewRoman" w:hint="eastAsia"/>
          <w:kern w:val="0"/>
          <w:sz w:val="32"/>
          <w:szCs w:val="32"/>
        </w:rPr>
        <w:t>、社会保障和就业支出（类）其他社会保障和就业支出（款）其他社会保障和就业支出（项）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0.76</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0.45</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145.16%</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7</w:t>
      </w:r>
      <w:r>
        <w:rPr>
          <w:rFonts w:ascii="TimesNewRoman" w:eastAsia="仿宋_GB2312" w:hAnsi="TimesNewRoman" w:cs="TimesNewRoman" w:hint="eastAsia"/>
          <w:kern w:val="0"/>
          <w:sz w:val="32"/>
          <w:szCs w:val="32"/>
        </w:rPr>
        <w:t>、卫生健康支出（类）行政事业单位医疗（款）事业单位医疗（项）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7.82</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4.15</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113.08%</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8</w:t>
      </w:r>
      <w:r>
        <w:rPr>
          <w:rFonts w:ascii="TimesNewRoman" w:eastAsia="仿宋_GB2312" w:hAnsi="TimesNewRoman" w:cs="TimesNewRoman" w:hint="eastAsia"/>
          <w:kern w:val="0"/>
          <w:sz w:val="32"/>
          <w:szCs w:val="32"/>
        </w:rPr>
        <w:t>、卫生健康支出（类）行政事业单位医疗（款）公务员医疗补助（项）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3.42</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2.11</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161.07%</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9</w:t>
      </w:r>
      <w:r>
        <w:rPr>
          <w:rFonts w:ascii="TimesNewRoman" w:eastAsia="仿宋_GB2312" w:hAnsi="TimesNewRoman" w:cs="TimesNewRoman" w:hint="eastAsia"/>
          <w:kern w:val="0"/>
          <w:sz w:val="32"/>
          <w:szCs w:val="32"/>
        </w:rPr>
        <w:t>、住房保障支出（类）住房改革支出（款）住房公积金（项）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24.92</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16.87</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lastRenderedPageBreak/>
        <w:t>209.57%</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10</w:t>
      </w:r>
      <w:r>
        <w:rPr>
          <w:rFonts w:ascii="TimesNewRoman" w:eastAsia="仿宋_GB2312" w:hAnsi="TimesNewRoman" w:cs="TimesNewRoman" w:hint="eastAsia"/>
          <w:kern w:val="0"/>
          <w:sz w:val="32"/>
          <w:szCs w:val="32"/>
        </w:rPr>
        <w:t>、住房保障支出（类）住房改革支出（款）提租补贴（项）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6.23</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4.22</w:t>
      </w:r>
      <w:r>
        <w:rPr>
          <w:rFonts w:ascii="TimesNewRoman" w:eastAsia="仿宋_GB2312" w:hAnsi="TimesNewRoman" w:cs="TimesNewRoman" w:hint="eastAsia"/>
          <w:kern w:val="0"/>
          <w:sz w:val="32"/>
          <w:szCs w:val="32"/>
        </w:rPr>
        <w:t>万元，增</w:t>
      </w:r>
      <w:r>
        <w:rPr>
          <w:rFonts w:ascii="TimesNewRoman" w:eastAsia="仿宋_GB2312" w:hAnsi="TimesNewRoman" w:cs="TimesNewRoman" w:hint="eastAsia"/>
          <w:kern w:val="0"/>
          <w:sz w:val="32"/>
          <w:szCs w:val="32"/>
        </w:rPr>
        <w:t>209.95%</w:t>
      </w:r>
      <w:r>
        <w:rPr>
          <w:rFonts w:ascii="TimesNewRoman" w:eastAsia="仿宋_GB2312" w:hAnsi="TimesNewRoman" w:cs="TimesNewRoman" w:hint="eastAsia"/>
          <w:kern w:val="0"/>
          <w:sz w:val="32"/>
          <w:szCs w:val="32"/>
        </w:rPr>
        <w:t>，增长原因主要是机构改革原淮北市劳动保障监察综合执法支队与我单位合并造成经费增加。</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11</w:t>
      </w:r>
      <w:r>
        <w:rPr>
          <w:rFonts w:ascii="TimesNewRoman" w:eastAsia="仿宋_GB2312" w:hAnsi="TimesNewRoman" w:cs="TimesNewRoman" w:hint="eastAsia"/>
          <w:kern w:val="0"/>
          <w:sz w:val="32"/>
          <w:szCs w:val="32"/>
        </w:rPr>
        <w:t>、住房保障支出（类）住房改革支出（款）购房补贴（项）</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年预算</w:t>
      </w:r>
      <w:r>
        <w:rPr>
          <w:rFonts w:ascii="TimesNewRoman" w:eastAsia="仿宋_GB2312" w:hAnsi="TimesNewRoman" w:cs="TimesNewRoman" w:hint="eastAsia"/>
          <w:kern w:val="0"/>
          <w:sz w:val="32"/>
          <w:szCs w:val="32"/>
        </w:rPr>
        <w:t>10.38</w:t>
      </w:r>
      <w:r>
        <w:rPr>
          <w:rFonts w:ascii="TimesNewRoman" w:eastAsia="仿宋_GB2312" w:hAnsi="TimesNewRoman" w:cs="TimesNewRoman" w:hint="eastAsia"/>
          <w:kern w:val="0"/>
          <w:sz w:val="32"/>
          <w:szCs w:val="32"/>
        </w:rPr>
        <w:t>万元，比</w:t>
      </w:r>
      <w:r>
        <w:rPr>
          <w:rFonts w:ascii="TimesNewRoman" w:eastAsia="仿宋_GB2312" w:hAnsi="TimesNewRoman" w:cs="TimesNewRoman"/>
          <w:kern w:val="0"/>
          <w:sz w:val="32"/>
          <w:szCs w:val="32"/>
        </w:rPr>
        <w:t>202</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7.03</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209.85%</w:t>
      </w:r>
      <w:r>
        <w:rPr>
          <w:rFonts w:ascii="TimesNewRoman" w:eastAsia="仿宋_GB2312" w:hAnsi="TimesNewRoman" w:cs="TimesNewRoman" w:hint="eastAsia"/>
          <w:kern w:val="0"/>
          <w:sz w:val="32"/>
          <w:szCs w:val="32"/>
        </w:rPr>
        <w:t>，原因主要是机构改革原淮北市劳动保障监察综合执法支队与我单位合并造成经费增加。</w:t>
      </w:r>
    </w:p>
    <w:p w:rsidR="00C22284" w:rsidRDefault="00705CC2">
      <w:pPr>
        <w:ind w:firstLineChars="200" w:firstLine="640"/>
        <w:rPr>
          <w:rFonts w:ascii="TimesNewRoman" w:eastAsia="黑体" w:hAnsi="TimesNewRoman" w:cs="TimesNewRoman"/>
          <w:bCs/>
          <w:sz w:val="32"/>
          <w:szCs w:val="32"/>
        </w:rPr>
      </w:pPr>
      <w:r>
        <w:rPr>
          <w:rFonts w:ascii="TimesNewRoman" w:eastAsia="黑体" w:hAnsi="TimesNewRoman" w:cs="TimesNewRoman" w:hint="eastAsia"/>
          <w:bCs/>
          <w:sz w:val="32"/>
          <w:szCs w:val="32"/>
        </w:rPr>
        <w:t>六、关于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年一般公共预算基本支出表的说明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Cs/>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年一般公共预算基本支出</w:t>
      </w:r>
      <w:r>
        <w:rPr>
          <w:rFonts w:ascii="TimesNewRoman" w:eastAsia="仿宋_GB2312" w:hAnsi="TimesNewRoman" w:cs="TimesNewRoman" w:hint="eastAsia"/>
          <w:kern w:val="0"/>
          <w:sz w:val="32"/>
          <w:szCs w:val="32"/>
        </w:rPr>
        <w:t>266.43</w:t>
      </w:r>
      <w:r>
        <w:rPr>
          <w:rFonts w:ascii="TimesNewRoman" w:eastAsia="仿宋_GB2312" w:hAnsi="TimesNewRoman" w:cs="TimesNewRoman" w:hint="eastAsia"/>
          <w:kern w:val="0"/>
          <w:sz w:val="32"/>
          <w:szCs w:val="32"/>
        </w:rPr>
        <w:t>万元，其中，人员经费</w:t>
      </w:r>
      <w:r>
        <w:rPr>
          <w:rFonts w:ascii="TimesNewRoman" w:eastAsia="仿宋_GB2312" w:hAnsi="TimesNewRoman" w:cs="TimesNewRoman" w:hint="eastAsia"/>
          <w:kern w:val="0"/>
          <w:sz w:val="32"/>
          <w:szCs w:val="32"/>
        </w:rPr>
        <w:t>247.23</w:t>
      </w:r>
      <w:r>
        <w:rPr>
          <w:rFonts w:ascii="TimesNewRoman" w:eastAsia="仿宋_GB2312" w:hAnsi="TimesNewRoman" w:cs="TimesNewRoman" w:hint="eastAsia"/>
          <w:kern w:val="0"/>
          <w:sz w:val="32"/>
          <w:szCs w:val="32"/>
        </w:rPr>
        <w:t>万元，公用经费</w:t>
      </w:r>
      <w:r>
        <w:rPr>
          <w:rFonts w:ascii="TimesNewRoman" w:eastAsia="仿宋_GB2312" w:hAnsi="TimesNewRoman" w:cs="TimesNewRoman" w:hint="eastAsia"/>
          <w:kern w:val="0"/>
          <w:sz w:val="32"/>
          <w:szCs w:val="32"/>
        </w:rPr>
        <w:t>19.2</w:t>
      </w:r>
      <w:r>
        <w:rPr>
          <w:rFonts w:ascii="TimesNewRoman" w:eastAsia="仿宋_GB2312" w:hAnsi="TimesNewRoman" w:cs="TimesNewRoman" w:hint="eastAsia"/>
          <w:kern w:val="0"/>
          <w:sz w:val="32"/>
          <w:szCs w:val="32"/>
        </w:rPr>
        <w:t>万元。</w:t>
      </w:r>
    </w:p>
    <w:p w:rsidR="00C22284" w:rsidRDefault="00705CC2" w:rsidP="009D4293">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
          <w:kern w:val="0"/>
          <w:sz w:val="32"/>
          <w:szCs w:val="32"/>
        </w:rPr>
        <w:t>（一）人员经费</w:t>
      </w:r>
      <w:r>
        <w:rPr>
          <w:rFonts w:ascii="TimesNewRoman" w:eastAsia="仿宋_GB2312" w:hAnsi="TimesNewRoman" w:cs="TimesNewRoman" w:hint="eastAsia"/>
          <w:b/>
          <w:kern w:val="0"/>
          <w:sz w:val="32"/>
          <w:szCs w:val="32"/>
        </w:rPr>
        <w:t>247.23</w:t>
      </w:r>
      <w:r>
        <w:rPr>
          <w:rFonts w:ascii="TimesNewRoman" w:eastAsia="仿宋_GB2312" w:hAnsi="TimesNewRoman" w:cs="TimesNewRoman" w:hint="eastAsia"/>
          <w:b/>
          <w:kern w:val="0"/>
          <w:sz w:val="32"/>
          <w:szCs w:val="32"/>
        </w:rPr>
        <w:t>万元，</w:t>
      </w:r>
      <w:r>
        <w:rPr>
          <w:rFonts w:ascii="TimesNewRoman" w:eastAsia="仿宋_GB2312" w:hAnsi="TimesNewRoman" w:cs="TimesNewRoman" w:hint="eastAsia"/>
          <w:kern w:val="0"/>
          <w:sz w:val="32"/>
          <w:szCs w:val="32"/>
        </w:rPr>
        <w:t>主要包括</w:t>
      </w:r>
      <w:r>
        <w:rPr>
          <w:rFonts w:ascii="TimesNewRoman" w:eastAsia="仿宋_GB2312" w:hAnsi="TimesNewRoman" w:cs="TimesNewRoman" w:hint="eastAsia"/>
          <w:kern w:val="0"/>
          <w:sz w:val="32"/>
          <w:szCs w:val="32"/>
        </w:rPr>
        <w:t xml:space="preserve">: </w:t>
      </w:r>
      <w:r>
        <w:rPr>
          <w:rFonts w:ascii="TimesNewRoman" w:eastAsia="仿宋_GB2312" w:hAnsi="TimesNewRoman" w:cs="TimesNewRoman" w:hint="eastAsia"/>
          <w:kern w:val="0"/>
          <w:sz w:val="32"/>
          <w:szCs w:val="32"/>
        </w:rPr>
        <w:t>基本工资、津贴补贴、奖金、绩效工资、机关事业单位基本养老保险费、职业年金缴费、职工基本医疗保险缴费、公务员医疗补助缴费、其他社会保障缴费、住房公积金、办公费、工会经费、福利费、其他商品和服务支出、退休费、医疗费补助、奖励金、对其他个人和家庭的补助支出。</w:t>
      </w:r>
    </w:p>
    <w:p w:rsidR="00C22284" w:rsidRDefault="00705CC2" w:rsidP="009D4293">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b/>
          <w:kern w:val="0"/>
          <w:sz w:val="32"/>
          <w:szCs w:val="32"/>
        </w:rPr>
        <w:t>（二）公用经费</w:t>
      </w:r>
      <w:r>
        <w:rPr>
          <w:rFonts w:ascii="TimesNewRoman" w:eastAsia="仿宋_GB2312" w:hAnsi="TimesNewRoman" w:cs="TimesNewRoman" w:hint="eastAsia"/>
          <w:b/>
          <w:kern w:val="0"/>
          <w:sz w:val="32"/>
          <w:szCs w:val="32"/>
        </w:rPr>
        <w:t>19.2</w:t>
      </w:r>
      <w:r>
        <w:rPr>
          <w:rFonts w:ascii="TimesNewRoman" w:eastAsia="仿宋_GB2312" w:hAnsi="TimesNewRoman" w:cs="TimesNewRoman" w:hint="eastAsia"/>
          <w:b/>
          <w:kern w:val="0"/>
          <w:sz w:val="32"/>
          <w:szCs w:val="32"/>
        </w:rPr>
        <w:t>万元，</w:t>
      </w:r>
      <w:r>
        <w:rPr>
          <w:rFonts w:ascii="TimesNewRoman" w:eastAsia="仿宋_GB2312" w:hAnsi="TimesNewRoman" w:cs="TimesNewRoman" w:hint="eastAsia"/>
          <w:kern w:val="0"/>
          <w:sz w:val="32"/>
          <w:szCs w:val="32"/>
        </w:rPr>
        <w:t>主要包括：水费、电费、其他商品和服务支出。</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七、关于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年政府性基金预算支出表的说明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年没有政府性基金预算拨款收</w:t>
      </w:r>
      <w:r>
        <w:rPr>
          <w:rFonts w:ascii="TimesNewRoman" w:eastAsia="仿宋_GB2312" w:hAnsi="TimesNewRoman" w:cs="TimesNewRoman" w:hint="eastAsia"/>
          <w:kern w:val="0"/>
          <w:sz w:val="32"/>
          <w:szCs w:val="32"/>
        </w:rPr>
        <w:lastRenderedPageBreak/>
        <w:t>入，也没有使用政府性基金预算拨款安排的支出。</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八、关于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年国有资本经营预算支出表的说明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年没有国有资本经营预算拨款收入，也没有使用国有资本经营预算拨款安排的支出。</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九、关于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年项目支出表的说明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年预算共安排项目支出</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万元，比</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年预算增加</w:t>
      </w:r>
      <w:r>
        <w:rPr>
          <w:rFonts w:ascii="TimesNewRoman" w:eastAsia="仿宋_GB2312" w:hAnsi="TimesNewRoman" w:cs="TimesNewRoman" w:hint="eastAsia"/>
          <w:kern w:val="0"/>
          <w:sz w:val="32"/>
          <w:szCs w:val="32"/>
        </w:rPr>
        <w:t>44</w:t>
      </w:r>
      <w:r>
        <w:rPr>
          <w:rFonts w:ascii="TimesNewRoman" w:eastAsia="仿宋_GB2312" w:hAnsi="TimesNewRoman" w:cs="TimesNewRoman" w:hint="eastAsia"/>
          <w:kern w:val="0"/>
          <w:sz w:val="32"/>
          <w:szCs w:val="32"/>
        </w:rPr>
        <w:t>万元，增长</w:t>
      </w:r>
      <w:r>
        <w:rPr>
          <w:rFonts w:ascii="TimesNewRoman" w:eastAsia="仿宋_GB2312" w:hAnsi="TimesNewRoman" w:cs="TimesNewRoman" w:hint="eastAsia"/>
          <w:kern w:val="0"/>
          <w:sz w:val="32"/>
          <w:szCs w:val="32"/>
        </w:rPr>
        <w:t>220%</w:t>
      </w:r>
      <w:r>
        <w:rPr>
          <w:rFonts w:ascii="TimesNewRoman" w:eastAsia="仿宋_GB2312" w:hAnsi="TimesNewRoman" w:cs="TimesNewRoman" w:hint="eastAsia"/>
          <w:kern w:val="0"/>
          <w:sz w:val="32"/>
          <w:szCs w:val="32"/>
        </w:rPr>
        <w:t>，原因主要是机构改革原淮北市劳动保障监察综合执法支队与我单位合并造成项目经费增加。主要包括：本年财政拨款安排</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万元（其中，一般公共预算拨款安排</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万元，政府性基金预算拨款安排</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万元），财政专户管理资金安排</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十、关于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年政府采购支出表的说明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年没有使用一般公共预算拨款、政府性基金预算拨款、国有资本经营预算拨款、财政专户管理资金和单位资金安排的政府采购支出。</w:t>
      </w:r>
    </w:p>
    <w:p w:rsidR="00C22284" w:rsidRDefault="00705CC2">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十一、关于</w:t>
      </w:r>
      <w:r>
        <w:rPr>
          <w:rFonts w:ascii="TimesNewRoman" w:eastAsia="黑体" w:hAnsi="TimesNewRoman" w:cs="TimesNewRoman" w:hint="eastAsia"/>
          <w:bCs/>
          <w:sz w:val="32"/>
          <w:szCs w:val="32"/>
        </w:rPr>
        <w:t>2025</w:t>
      </w:r>
      <w:r>
        <w:rPr>
          <w:rFonts w:ascii="TimesNewRoman" w:eastAsia="黑体" w:hAnsi="TimesNewRoman" w:cs="TimesNewRoman" w:hint="eastAsia"/>
          <w:bCs/>
          <w:sz w:val="32"/>
          <w:szCs w:val="32"/>
        </w:rPr>
        <w:t>年政府购买服务支出表的说明</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年没有安排政府购买服务支出。</w:t>
      </w:r>
    </w:p>
    <w:p w:rsidR="009D4293" w:rsidRDefault="009D4293" w:rsidP="009D4293">
      <w:pPr>
        <w:pStyle w:val="a5"/>
        <w:adjustRightInd w:val="0"/>
        <w:snapToGrid w:val="0"/>
        <w:spacing w:line="560" w:lineRule="exact"/>
        <w:ind w:firstLineChars="200" w:firstLine="640"/>
        <w:rPr>
          <w:rFonts w:ascii="TimesNewRoman" w:eastAsia="黑体" w:hAnsi="TimesNewRoman" w:cs="TimesNewRoman"/>
          <w:sz w:val="32"/>
          <w:szCs w:val="32"/>
        </w:rPr>
      </w:pPr>
      <w:r>
        <w:rPr>
          <w:rFonts w:ascii="TimesNewRoman" w:eastAsia="黑体" w:hAnsi="TimesNewRoman" w:cs="TimesNewRoman"/>
          <w:sz w:val="32"/>
          <w:szCs w:val="32"/>
        </w:rPr>
        <w:t>十</w:t>
      </w:r>
      <w:r>
        <w:rPr>
          <w:rFonts w:ascii="TimesNewRoman" w:eastAsia="黑体" w:hAnsi="TimesNewRoman" w:cs="TimesNewRoman" w:hint="eastAsia"/>
          <w:sz w:val="32"/>
          <w:szCs w:val="32"/>
        </w:rPr>
        <w:t>二</w:t>
      </w:r>
      <w:r>
        <w:rPr>
          <w:rFonts w:ascii="TimesNewRoman" w:eastAsia="黑体" w:hAnsi="TimesNewRoman" w:cs="TimesNewRoman"/>
          <w:sz w:val="32"/>
          <w:szCs w:val="32"/>
        </w:rPr>
        <w:t>、关于</w:t>
      </w:r>
      <w:r>
        <w:rPr>
          <w:rFonts w:ascii="TimesNewRoman" w:eastAsia="黑体" w:hAnsi="TimesNewRoman" w:cs="TimesNewRoman" w:hint="eastAsia"/>
          <w:sz w:val="32"/>
          <w:szCs w:val="32"/>
        </w:rPr>
        <w:t>2025</w:t>
      </w:r>
      <w:r>
        <w:rPr>
          <w:rFonts w:ascii="TimesNewRoman" w:eastAsia="黑体" w:hAnsi="TimesNewRoman" w:cs="TimesNewRoman"/>
          <w:sz w:val="32"/>
          <w:szCs w:val="32"/>
        </w:rPr>
        <w:t>年通用资产配置支出表的说明</w:t>
      </w:r>
    </w:p>
    <w:p w:rsidR="009D4293" w:rsidRDefault="00D30A22" w:rsidP="009D4293">
      <w:pPr>
        <w:pStyle w:val="a5"/>
        <w:adjustRightInd w:val="0"/>
        <w:snapToGrid w:val="0"/>
        <w:spacing w:line="560" w:lineRule="exact"/>
        <w:ind w:firstLineChars="200" w:firstLine="640"/>
        <w:outlineLvl w:val="0"/>
        <w:rPr>
          <w:rFonts w:ascii="TimesNewRoman" w:eastAsia="仿宋_GB2312" w:hAnsi="TimesNewRoman" w:cs="TimesNewRoman"/>
          <w:sz w:val="32"/>
          <w:szCs w:val="32"/>
        </w:rPr>
      </w:pPr>
      <w:r>
        <w:rPr>
          <w:rFonts w:ascii="TimesNewRoman" w:eastAsia="仿宋_GB2312" w:hAnsi="TimesNewRoman" w:cs="TimesNewRoman" w:hint="eastAsia"/>
          <w:sz w:val="32"/>
          <w:szCs w:val="32"/>
        </w:rPr>
        <w:lastRenderedPageBreak/>
        <w:t>淮北市劳动人事争议仲裁院</w:t>
      </w:r>
      <w:r w:rsidR="009D4293">
        <w:rPr>
          <w:rFonts w:ascii="TimesNewRoman" w:eastAsia="仿宋_GB2312" w:hAnsi="TimesNewRoman" w:cs="TimesNewRoman" w:hint="eastAsia"/>
          <w:sz w:val="32"/>
          <w:szCs w:val="32"/>
        </w:rPr>
        <w:t>2025</w:t>
      </w:r>
      <w:r w:rsidR="009D4293">
        <w:rPr>
          <w:rFonts w:ascii="TimesNewRoman" w:eastAsia="仿宋_GB2312" w:hAnsi="TimesNewRoman" w:cs="TimesNewRoman"/>
          <w:sz w:val="32"/>
          <w:szCs w:val="32"/>
        </w:rPr>
        <w:t>年没有安排通用资产配置支出。</w:t>
      </w:r>
    </w:p>
    <w:p w:rsidR="00C22284" w:rsidRDefault="009D4293">
      <w:pPr>
        <w:pStyle w:val="a5"/>
        <w:adjustRightInd w:val="0"/>
        <w:snapToGrid w:val="0"/>
        <w:spacing w:line="560" w:lineRule="exact"/>
        <w:ind w:firstLineChars="196" w:firstLine="627"/>
        <w:rPr>
          <w:rFonts w:ascii="TimesNewRoman" w:eastAsia="黑体" w:hAnsi="TimesNewRoman" w:cs="TimesNewRoman"/>
          <w:bCs/>
          <w:sz w:val="32"/>
          <w:szCs w:val="32"/>
        </w:rPr>
      </w:pPr>
      <w:r>
        <w:rPr>
          <w:rFonts w:ascii="TimesNewRoman" w:eastAsia="黑体" w:hAnsi="TimesNewRoman" w:cs="TimesNewRoman" w:hint="eastAsia"/>
          <w:bCs/>
          <w:sz w:val="32"/>
          <w:szCs w:val="32"/>
        </w:rPr>
        <w:t>十三</w:t>
      </w:r>
      <w:r w:rsidR="00705CC2">
        <w:rPr>
          <w:rFonts w:ascii="TimesNewRoman" w:eastAsia="黑体" w:hAnsi="TimesNewRoman" w:cs="TimesNewRoman" w:hint="eastAsia"/>
          <w:bCs/>
          <w:sz w:val="32"/>
          <w:szCs w:val="32"/>
        </w:rPr>
        <w:t>、其他重要事项情况说明</w:t>
      </w:r>
    </w:p>
    <w:p w:rsidR="00C22284" w:rsidRDefault="00705CC2" w:rsidP="009D4293">
      <w:pPr>
        <w:adjustRightInd w:val="0"/>
        <w:snapToGrid w:val="0"/>
        <w:spacing w:line="58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（一）项目及绩效目标情况。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、“劳动仲裁（维权）办案经费”项目。</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项目概述。为加强劳动人事纠纷处理工作、规范全市劳动用工行为，维护劳动者合法权益，从经费上保障劳动人事争议仲裁、劳动用工维权工作，加大宣传力度，依法查处和打击违法用工，以及开展劳动力市场清理整顿、劳动用工和社会保障专项检查、根治</w:t>
      </w:r>
      <w:proofErr w:type="gramStart"/>
      <w:r>
        <w:rPr>
          <w:rFonts w:ascii="TimesNewRoman" w:eastAsia="仿宋_GB2312" w:hAnsi="TimesNewRoman" w:cs="TimesNewRoman" w:hint="eastAsia"/>
          <w:kern w:val="0"/>
          <w:sz w:val="32"/>
          <w:szCs w:val="32"/>
        </w:rPr>
        <w:t>欠薪专项</w:t>
      </w:r>
      <w:proofErr w:type="gramEnd"/>
      <w:r>
        <w:rPr>
          <w:rFonts w:ascii="TimesNewRoman" w:eastAsia="仿宋_GB2312" w:hAnsi="TimesNewRoman" w:cs="TimesNewRoman" w:hint="eastAsia"/>
          <w:kern w:val="0"/>
          <w:sz w:val="32"/>
          <w:szCs w:val="32"/>
        </w:rPr>
        <w:t>检查等各项检查工作，贯彻执行人力资源社会保障法律法规，接待政策咨询，处理劳动人事争议案件和劳动保障维权案件，对县区、园区案件处理开展业务指导，参与处置因劳动人事纠纷引发的突发事件。</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w:t>
      </w:r>
      <w:r>
        <w:rPr>
          <w:rFonts w:ascii="TimesNewRoman" w:eastAsia="仿宋_GB2312" w:hAnsi="TimesNewRoman" w:cs="TimesNewRoman" w:hint="eastAsia"/>
          <w:kern w:val="0"/>
          <w:sz w:val="32"/>
          <w:szCs w:val="32"/>
        </w:rPr>
        <w:t>）立项依据。</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1 \* GB3 \* MERGEFORMAT </w:instrText>
      </w:r>
      <w:r w:rsidR="00EB0E71">
        <w:rPr>
          <w:rFonts w:ascii="TimesNewRoman" w:eastAsia="仿宋_GB2312" w:hAnsi="TimesNewRoman" w:cs="TimesNewRoman" w:hint="eastAsia"/>
          <w:kern w:val="0"/>
          <w:sz w:val="32"/>
          <w:szCs w:val="32"/>
        </w:rPr>
        <w:fldChar w:fldCharType="separate"/>
      </w:r>
      <w:r>
        <w:t>①</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国务院令第</w:t>
      </w:r>
      <w:r>
        <w:rPr>
          <w:rFonts w:ascii="TimesNewRoman" w:eastAsia="仿宋_GB2312" w:hAnsi="TimesNewRoman" w:cs="TimesNewRoman" w:hint="eastAsia"/>
          <w:kern w:val="0"/>
          <w:sz w:val="32"/>
          <w:szCs w:val="32"/>
        </w:rPr>
        <w:t>423</w:t>
      </w:r>
      <w:r>
        <w:rPr>
          <w:rFonts w:ascii="TimesNewRoman" w:eastAsia="仿宋_GB2312" w:hAnsi="TimesNewRoman" w:cs="TimesNewRoman" w:hint="eastAsia"/>
          <w:kern w:val="0"/>
          <w:sz w:val="32"/>
          <w:szCs w:val="32"/>
        </w:rPr>
        <w:t>号《劳动保障监察条例》第五条：“劳动保障监察所需经费列入本级财政预算”。</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2 \* GB3 \* MERGEFORMAT </w:instrText>
      </w:r>
      <w:r w:rsidR="00EB0E71">
        <w:rPr>
          <w:rFonts w:ascii="TimesNewRoman" w:eastAsia="仿宋_GB2312" w:hAnsi="TimesNewRoman" w:cs="TimesNewRoman" w:hint="eastAsia"/>
          <w:kern w:val="0"/>
          <w:sz w:val="32"/>
          <w:szCs w:val="32"/>
        </w:rPr>
        <w:fldChar w:fldCharType="separate"/>
      </w:r>
      <w:r>
        <w:t>②</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《中华人民共和国劳动争议调解仲裁法》第五十三条：“劳动争议仲裁委员会的经费由财政予以保障。”</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3 \* GB3 \* MERGEFORMAT </w:instrText>
      </w:r>
      <w:r w:rsidR="00EB0E71">
        <w:rPr>
          <w:rFonts w:ascii="TimesNewRoman" w:eastAsia="仿宋_GB2312" w:hAnsi="TimesNewRoman" w:cs="TimesNewRoman" w:hint="eastAsia"/>
          <w:kern w:val="0"/>
          <w:sz w:val="32"/>
          <w:szCs w:val="32"/>
        </w:rPr>
        <w:fldChar w:fldCharType="separate"/>
      </w:r>
      <w:r>
        <w:t>③</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安徽省</w:t>
      </w:r>
      <w:proofErr w:type="gramStart"/>
      <w:r>
        <w:rPr>
          <w:rFonts w:ascii="TimesNewRoman" w:eastAsia="仿宋_GB2312" w:hAnsi="TimesNewRoman" w:cs="TimesNewRoman" w:hint="eastAsia"/>
          <w:kern w:val="0"/>
          <w:sz w:val="32"/>
          <w:szCs w:val="32"/>
        </w:rPr>
        <w:t>人社厅</w:t>
      </w:r>
      <w:proofErr w:type="gramEnd"/>
      <w:r>
        <w:rPr>
          <w:rFonts w:ascii="TimesNewRoman" w:eastAsia="仿宋_GB2312" w:hAnsi="TimesNewRoman" w:cs="TimesNewRoman" w:hint="eastAsia"/>
          <w:kern w:val="0"/>
          <w:sz w:val="32"/>
          <w:szCs w:val="32"/>
        </w:rPr>
        <w:t>、省编办、省财政厅《关于加强劳动保障监察执法能力建设的实施意见》（</w:t>
      </w:r>
      <w:proofErr w:type="gramStart"/>
      <w:r>
        <w:rPr>
          <w:rFonts w:ascii="TimesNewRoman" w:eastAsia="仿宋_GB2312" w:hAnsi="TimesNewRoman" w:cs="TimesNewRoman" w:hint="eastAsia"/>
          <w:kern w:val="0"/>
          <w:sz w:val="32"/>
          <w:szCs w:val="32"/>
        </w:rPr>
        <w:t>皖人社发</w:t>
      </w:r>
      <w:proofErr w:type="gramEnd"/>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2016</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31</w:t>
      </w:r>
      <w:r>
        <w:rPr>
          <w:rFonts w:ascii="TimesNewRoman" w:eastAsia="仿宋_GB2312" w:hAnsi="TimesNewRoman" w:cs="TimesNewRoman" w:hint="eastAsia"/>
          <w:kern w:val="0"/>
          <w:sz w:val="32"/>
          <w:szCs w:val="32"/>
        </w:rPr>
        <w:t>号）第三条（三）“依法将劳动保障监察履行法定职责所需经费列入同级财政预算，严禁将行政罚款收入与工作经费挂钩或变相挂钩”。</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4 \* GB3 \* MERGEFORMAT </w:instrText>
      </w:r>
      <w:r w:rsidR="00EB0E71">
        <w:rPr>
          <w:rFonts w:ascii="TimesNewRoman" w:eastAsia="仿宋_GB2312" w:hAnsi="TimesNewRoman" w:cs="TimesNewRoman" w:hint="eastAsia"/>
          <w:kern w:val="0"/>
          <w:sz w:val="32"/>
          <w:szCs w:val="32"/>
        </w:rPr>
        <w:fldChar w:fldCharType="separate"/>
      </w:r>
      <w:r>
        <w:t>④</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市编委会《关于撤销市劳动保障监察综合执法支队等有关事项的通知》（</w:t>
      </w:r>
      <w:proofErr w:type="gramStart"/>
      <w:r>
        <w:rPr>
          <w:rFonts w:ascii="TimesNewRoman" w:eastAsia="仿宋_GB2312" w:hAnsi="TimesNewRoman" w:cs="TimesNewRoman" w:hint="eastAsia"/>
          <w:kern w:val="0"/>
          <w:sz w:val="32"/>
          <w:szCs w:val="32"/>
        </w:rPr>
        <w:t>淮编</w:t>
      </w:r>
      <w:r>
        <w:rPr>
          <w:rFonts w:ascii="TimesNewRoman" w:eastAsia="仿宋_GB2312" w:hAnsi="TimesNewRoman" w:cs="TimesNewRoman" w:hint="eastAsia"/>
          <w:kern w:val="0"/>
          <w:sz w:val="32"/>
          <w:szCs w:val="32"/>
        </w:rPr>
        <w:t>[</w:t>
      </w:r>
      <w:proofErr w:type="gramEnd"/>
      <w:r>
        <w:rPr>
          <w:rFonts w:ascii="TimesNewRoman" w:eastAsia="仿宋_GB2312" w:hAnsi="TimesNewRoman" w:cs="TimesNewRoman" w:hint="eastAsia"/>
          <w:kern w:val="0"/>
          <w:sz w:val="32"/>
          <w:szCs w:val="32"/>
        </w:rPr>
        <w:t>2024]14</w:t>
      </w:r>
      <w:r>
        <w:rPr>
          <w:rFonts w:ascii="TimesNewRoman" w:eastAsia="仿宋_GB2312" w:hAnsi="TimesNewRoman" w:cs="TimesNewRoman" w:hint="eastAsia"/>
          <w:kern w:val="0"/>
          <w:sz w:val="32"/>
          <w:szCs w:val="32"/>
        </w:rPr>
        <w:t>号）：撤销市劳动保障监察综合执法支队，将原市劳动保障综合执法支队承担的辅助性事务性工作和人员划入市劳动人事争</w:t>
      </w:r>
      <w:r>
        <w:rPr>
          <w:rFonts w:ascii="TimesNewRoman" w:eastAsia="仿宋_GB2312" w:hAnsi="TimesNewRoman" w:cs="TimesNewRoman" w:hint="eastAsia"/>
          <w:kern w:val="0"/>
          <w:sz w:val="32"/>
          <w:szCs w:val="32"/>
        </w:rPr>
        <w:lastRenderedPageBreak/>
        <w:t>议仲裁院，加挂市劳动保障维权中心牌子。市劳动争议仲裁院主要承担：依法调处劳动保障纠纷，组织处理有关突发事件等执法辅助事务性工作。</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5 \* GB3 \* MERGEFORMAT </w:instrText>
      </w:r>
      <w:r w:rsidR="00EB0E71">
        <w:rPr>
          <w:rFonts w:ascii="TimesNewRoman" w:eastAsia="仿宋_GB2312" w:hAnsi="TimesNewRoman" w:cs="TimesNewRoman" w:hint="eastAsia"/>
          <w:kern w:val="0"/>
          <w:sz w:val="32"/>
          <w:szCs w:val="32"/>
        </w:rPr>
        <w:fldChar w:fldCharType="separate"/>
      </w:r>
      <w:r>
        <w:t>⑤</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省领导小组办公室《关于印发</w:t>
      </w:r>
      <w:r>
        <w:rPr>
          <w:rFonts w:ascii="TimesNewRoman" w:eastAsia="仿宋_GB2312" w:hAnsi="TimesNewRoman" w:cs="TimesNewRoman" w:hint="eastAsia"/>
          <w:kern w:val="0"/>
          <w:sz w:val="32"/>
          <w:szCs w:val="32"/>
        </w:rPr>
        <w:t>&lt;2022</w:t>
      </w:r>
      <w:r>
        <w:rPr>
          <w:rFonts w:ascii="TimesNewRoman" w:eastAsia="仿宋_GB2312" w:hAnsi="TimesNewRoman" w:cs="TimesNewRoman" w:hint="eastAsia"/>
          <w:kern w:val="0"/>
          <w:sz w:val="32"/>
          <w:szCs w:val="32"/>
        </w:rPr>
        <w:t>年度安徽省保障农民工工资支付工作考核细则</w:t>
      </w:r>
      <w:r>
        <w:rPr>
          <w:rFonts w:ascii="TimesNewRoman" w:eastAsia="仿宋_GB2312" w:hAnsi="TimesNewRoman" w:cs="TimesNewRoman" w:hint="eastAsia"/>
          <w:kern w:val="0"/>
          <w:sz w:val="32"/>
          <w:szCs w:val="32"/>
        </w:rPr>
        <w:t>&gt;</w:t>
      </w:r>
      <w:r>
        <w:rPr>
          <w:rFonts w:ascii="TimesNewRoman" w:eastAsia="仿宋_GB2312" w:hAnsi="TimesNewRoman" w:cs="TimesNewRoman" w:hint="eastAsia"/>
          <w:kern w:val="0"/>
          <w:sz w:val="32"/>
          <w:szCs w:val="32"/>
        </w:rPr>
        <w:t>的通知》（</w:t>
      </w:r>
      <w:proofErr w:type="gramStart"/>
      <w:r>
        <w:rPr>
          <w:rFonts w:ascii="TimesNewRoman" w:eastAsia="仿宋_GB2312" w:hAnsi="TimesNewRoman" w:cs="TimesNewRoman" w:hint="eastAsia"/>
          <w:kern w:val="0"/>
          <w:sz w:val="32"/>
          <w:szCs w:val="32"/>
        </w:rPr>
        <w:t>皖治欠办</w:t>
      </w:r>
      <w:proofErr w:type="gramEnd"/>
      <w:r>
        <w:rPr>
          <w:rFonts w:ascii="TimesNewRoman" w:eastAsia="仿宋_GB2312" w:hAnsi="TimesNewRoman" w:cs="TimesNewRoman" w:hint="eastAsia"/>
          <w:kern w:val="0"/>
          <w:sz w:val="32"/>
          <w:szCs w:val="32"/>
        </w:rPr>
        <w:t>发〔</w:t>
      </w:r>
      <w:r>
        <w:rPr>
          <w:rFonts w:ascii="TimesNewRoman" w:eastAsia="仿宋_GB2312" w:hAnsi="TimesNewRoman" w:cs="TimesNewRoman" w:hint="eastAsia"/>
          <w:kern w:val="0"/>
          <w:sz w:val="32"/>
          <w:szCs w:val="32"/>
        </w:rPr>
        <w:t>2023</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6</w:t>
      </w:r>
      <w:r>
        <w:rPr>
          <w:rFonts w:ascii="TimesNewRoman" w:eastAsia="仿宋_GB2312" w:hAnsi="TimesNewRoman" w:cs="TimesNewRoman" w:hint="eastAsia"/>
          <w:kern w:val="0"/>
          <w:sz w:val="32"/>
          <w:szCs w:val="32"/>
        </w:rPr>
        <w:t>号）第</w:t>
      </w:r>
      <w:r>
        <w:rPr>
          <w:rFonts w:ascii="TimesNewRoman" w:eastAsia="仿宋_GB2312" w:hAnsi="TimesNewRoman" w:cs="TimesNewRoman" w:hint="eastAsia"/>
          <w:kern w:val="0"/>
          <w:sz w:val="32"/>
          <w:szCs w:val="32"/>
        </w:rPr>
        <w:t>21</w:t>
      </w:r>
      <w:r>
        <w:rPr>
          <w:rFonts w:ascii="TimesNewRoman" w:eastAsia="仿宋_GB2312" w:hAnsi="TimesNewRoman" w:cs="TimesNewRoman" w:hint="eastAsia"/>
          <w:kern w:val="0"/>
          <w:sz w:val="32"/>
          <w:szCs w:val="32"/>
        </w:rPr>
        <w:t>条：“建立省级集中的工资支付监控预警平台</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并与国家平台实现信息互联共享（</w:t>
      </w:r>
      <w:r>
        <w:rPr>
          <w:rFonts w:ascii="TimesNewRoman" w:eastAsia="仿宋_GB2312" w:hAnsi="TimesNewRoman" w:cs="TimesNewRoman" w:hint="eastAsia"/>
          <w:kern w:val="0"/>
          <w:sz w:val="32"/>
          <w:szCs w:val="32"/>
        </w:rPr>
        <w:t>9</w:t>
      </w:r>
      <w:r>
        <w:rPr>
          <w:rFonts w:ascii="TimesNewRoman" w:eastAsia="仿宋_GB2312" w:hAnsi="TimesNewRoman" w:cs="TimesNewRoman" w:hint="eastAsia"/>
          <w:kern w:val="0"/>
          <w:sz w:val="32"/>
          <w:szCs w:val="32"/>
        </w:rPr>
        <w:t>分），未按要求，开发或升级市级农民工工资支付监管平台的，扣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分；市级平台未能实现全市数据集中的，扣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分；未建立市级指挥中心的，扣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分；市级指挥中心未能与省指挥中心互联互通的，扣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6 \* GB3 \* MERGEFORMAT </w:instrText>
      </w:r>
      <w:r w:rsidR="00EB0E71">
        <w:rPr>
          <w:rFonts w:ascii="TimesNewRoman" w:eastAsia="仿宋_GB2312" w:hAnsi="TimesNewRoman" w:cs="TimesNewRoman" w:hint="eastAsia"/>
          <w:kern w:val="0"/>
          <w:sz w:val="32"/>
          <w:szCs w:val="32"/>
        </w:rPr>
        <w:fldChar w:fldCharType="separate"/>
      </w:r>
      <w:r>
        <w:t>⑥</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关于设立集中接访日的通知（</w:t>
      </w:r>
      <w:proofErr w:type="gramStart"/>
      <w:r>
        <w:rPr>
          <w:rFonts w:ascii="TimesNewRoman" w:eastAsia="仿宋_GB2312" w:hAnsi="TimesNewRoman" w:cs="TimesNewRoman" w:hint="eastAsia"/>
          <w:kern w:val="0"/>
          <w:sz w:val="32"/>
          <w:szCs w:val="32"/>
        </w:rPr>
        <w:t>淮治欠办</w:t>
      </w:r>
      <w:proofErr w:type="gramEnd"/>
      <w:r>
        <w:rPr>
          <w:rFonts w:ascii="TimesNewRoman" w:eastAsia="仿宋_GB2312" w:hAnsi="TimesNewRoman" w:cs="TimesNewRoman" w:hint="eastAsia"/>
          <w:kern w:val="0"/>
          <w:sz w:val="32"/>
          <w:szCs w:val="32"/>
        </w:rPr>
        <w:t>发〔</w:t>
      </w:r>
      <w:r>
        <w:rPr>
          <w:rFonts w:ascii="TimesNewRoman" w:eastAsia="仿宋_GB2312" w:hAnsi="TimesNewRoman" w:cs="TimesNewRoman" w:hint="eastAsia"/>
          <w:kern w:val="0"/>
          <w:sz w:val="32"/>
          <w:szCs w:val="32"/>
        </w:rPr>
        <w:t>2022</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15</w:t>
      </w:r>
      <w:r>
        <w:rPr>
          <w:rFonts w:ascii="TimesNewRoman" w:eastAsia="仿宋_GB2312" w:hAnsi="TimesNewRoman" w:cs="TimesNewRoman" w:hint="eastAsia"/>
          <w:kern w:val="0"/>
          <w:sz w:val="32"/>
          <w:szCs w:val="32"/>
        </w:rPr>
        <w:t>号）将每月</w:t>
      </w:r>
      <w:r>
        <w:rPr>
          <w:rFonts w:ascii="TimesNewRoman" w:eastAsia="仿宋_GB2312" w:hAnsi="TimesNewRoman" w:cs="TimesNewRoman" w:hint="eastAsia"/>
          <w:kern w:val="0"/>
          <w:sz w:val="32"/>
          <w:szCs w:val="32"/>
        </w:rPr>
        <w:t>19</w:t>
      </w:r>
      <w:r>
        <w:rPr>
          <w:rFonts w:ascii="TimesNewRoman" w:eastAsia="仿宋_GB2312" w:hAnsi="TimesNewRoman" w:cs="TimesNewRoman" w:hint="eastAsia"/>
          <w:kern w:val="0"/>
          <w:sz w:val="32"/>
          <w:szCs w:val="32"/>
        </w:rPr>
        <w:t>日设为全市</w:t>
      </w:r>
      <w:proofErr w:type="gramStart"/>
      <w:r>
        <w:rPr>
          <w:rFonts w:ascii="TimesNewRoman" w:eastAsia="仿宋_GB2312" w:hAnsi="TimesNewRoman" w:cs="TimesNewRoman" w:hint="eastAsia"/>
          <w:kern w:val="0"/>
          <w:sz w:val="32"/>
          <w:szCs w:val="32"/>
        </w:rPr>
        <w:t>固定接</w:t>
      </w:r>
      <w:proofErr w:type="gramEnd"/>
      <w:r>
        <w:rPr>
          <w:rFonts w:ascii="TimesNewRoman" w:eastAsia="仿宋_GB2312" w:hAnsi="TimesNewRoman" w:cs="TimesNewRoman" w:hint="eastAsia"/>
          <w:kern w:val="0"/>
          <w:sz w:val="32"/>
          <w:szCs w:val="32"/>
        </w:rPr>
        <w:t>访日，由市分管领导带头，联合相关部门集中接访。</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7 \* GB3 \* MERGEFORMAT </w:instrText>
      </w:r>
      <w:r w:rsidR="00EB0E71">
        <w:rPr>
          <w:rFonts w:ascii="TimesNewRoman" w:eastAsia="仿宋_GB2312" w:hAnsi="TimesNewRoman" w:cs="TimesNewRoman" w:hint="eastAsia"/>
          <w:kern w:val="0"/>
          <w:sz w:val="32"/>
          <w:szCs w:val="32"/>
        </w:rPr>
        <w:fldChar w:fldCharType="separate"/>
      </w:r>
      <w:r>
        <w:t>⑦</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关于规范劳动人事争议仲裁工作人员服装的通知（</w:t>
      </w:r>
      <w:proofErr w:type="gramStart"/>
      <w:r>
        <w:rPr>
          <w:rFonts w:ascii="TimesNewRoman" w:eastAsia="仿宋_GB2312" w:hAnsi="TimesNewRoman" w:cs="TimesNewRoman" w:hint="eastAsia"/>
          <w:kern w:val="0"/>
          <w:sz w:val="32"/>
          <w:szCs w:val="32"/>
        </w:rPr>
        <w:t>皖人社秘</w:t>
      </w:r>
      <w:proofErr w:type="gramEnd"/>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2021</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140</w:t>
      </w:r>
      <w:r>
        <w:rPr>
          <w:rFonts w:ascii="TimesNewRoman" w:eastAsia="仿宋_GB2312" w:hAnsi="TimesNewRoman" w:cs="TimesNewRoman" w:hint="eastAsia"/>
          <w:kern w:val="0"/>
          <w:sz w:val="32"/>
          <w:szCs w:val="32"/>
        </w:rPr>
        <w:t>号）“劳动人事争议仲裁机构专门从事仲裁工作的人员、办案辅助人员实行统一着装。</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8 \* GB3 \* MERGEFORMAT </w:instrText>
      </w:r>
      <w:r w:rsidR="00EB0E71">
        <w:rPr>
          <w:rFonts w:ascii="TimesNewRoman" w:eastAsia="仿宋_GB2312" w:hAnsi="TimesNewRoman" w:cs="TimesNewRoman" w:hint="eastAsia"/>
          <w:kern w:val="0"/>
          <w:sz w:val="32"/>
          <w:szCs w:val="32"/>
        </w:rPr>
        <w:fldChar w:fldCharType="separate"/>
      </w:r>
      <w:r>
        <w:t>⑧</w:t>
      </w:r>
      <w:r w:rsidR="00EB0E71">
        <w:rPr>
          <w:rFonts w:ascii="TimesNewRoman" w:eastAsia="仿宋_GB2312" w:hAnsi="TimesNewRoman" w:cs="TimesNewRoman" w:hint="eastAsia"/>
          <w:kern w:val="0"/>
          <w:sz w:val="32"/>
          <w:szCs w:val="32"/>
        </w:rPr>
        <w:fldChar w:fldCharType="end"/>
      </w:r>
      <w:proofErr w:type="gramStart"/>
      <w:r>
        <w:rPr>
          <w:rFonts w:ascii="TimesNewRoman" w:eastAsia="仿宋_GB2312" w:hAnsi="TimesNewRoman" w:cs="TimesNewRoman" w:hint="eastAsia"/>
          <w:kern w:val="0"/>
          <w:sz w:val="32"/>
          <w:szCs w:val="32"/>
        </w:rPr>
        <w:t>人社部</w:t>
      </w:r>
      <w:proofErr w:type="gramEnd"/>
      <w:r>
        <w:rPr>
          <w:rFonts w:ascii="TimesNewRoman" w:eastAsia="仿宋_GB2312" w:hAnsi="TimesNewRoman" w:cs="TimesNewRoman" w:hint="eastAsia"/>
          <w:kern w:val="0"/>
          <w:sz w:val="32"/>
          <w:szCs w:val="32"/>
        </w:rPr>
        <w:t>、财政部《关于进一步加强人力资源社会保障窗口单位经办队伍建设的意见》（</w:t>
      </w:r>
      <w:proofErr w:type="gramStart"/>
      <w:r>
        <w:rPr>
          <w:rFonts w:ascii="TimesNewRoman" w:eastAsia="仿宋_GB2312" w:hAnsi="TimesNewRoman" w:cs="TimesNewRoman" w:hint="eastAsia"/>
          <w:kern w:val="0"/>
          <w:sz w:val="32"/>
          <w:szCs w:val="32"/>
        </w:rPr>
        <w:t>人社部</w:t>
      </w:r>
      <w:proofErr w:type="gramEnd"/>
      <w:r>
        <w:rPr>
          <w:rFonts w:ascii="TimesNewRoman" w:eastAsia="仿宋_GB2312" w:hAnsi="TimesNewRoman" w:cs="TimesNewRoman" w:hint="eastAsia"/>
          <w:kern w:val="0"/>
          <w:sz w:val="32"/>
          <w:szCs w:val="32"/>
        </w:rPr>
        <w:t>发〔</w:t>
      </w:r>
      <w:r>
        <w:rPr>
          <w:rFonts w:ascii="TimesNewRoman" w:eastAsia="仿宋_GB2312" w:hAnsi="TimesNewRoman" w:cs="TimesNewRoman" w:hint="eastAsia"/>
          <w:kern w:val="0"/>
          <w:sz w:val="32"/>
          <w:szCs w:val="32"/>
        </w:rPr>
        <w:t>2019</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13</w:t>
      </w:r>
      <w:r>
        <w:rPr>
          <w:rFonts w:ascii="TimesNewRoman" w:eastAsia="仿宋_GB2312" w:hAnsi="TimesNewRoman" w:cs="TimesNewRoman" w:hint="eastAsia"/>
          <w:kern w:val="0"/>
          <w:sz w:val="32"/>
          <w:szCs w:val="32"/>
        </w:rPr>
        <w:t>号）第十一项，有条件的地区要逐步提高专兼职仲裁员办案补助标准；</w:t>
      </w:r>
      <w:r>
        <w:rPr>
          <w:rFonts w:ascii="TimesNewRoman" w:eastAsia="仿宋_GB2312" w:hAnsi="TimesNewRoman" w:cs="TimesNewRoman" w:hint="eastAsia"/>
          <w:kern w:val="0"/>
          <w:sz w:val="32"/>
          <w:szCs w:val="32"/>
        </w:rPr>
        <w:t xml:space="preserve"> </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9 \* GB3 \* MERGEFORMAT </w:instrText>
      </w:r>
      <w:r w:rsidR="00EB0E71">
        <w:rPr>
          <w:rFonts w:ascii="TimesNewRoman" w:eastAsia="仿宋_GB2312" w:hAnsi="TimesNewRoman" w:cs="TimesNewRoman" w:hint="eastAsia"/>
          <w:kern w:val="0"/>
          <w:sz w:val="32"/>
          <w:szCs w:val="32"/>
        </w:rPr>
        <w:fldChar w:fldCharType="separate"/>
      </w:r>
      <w:r>
        <w:t>⑨</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省</w:t>
      </w:r>
      <w:proofErr w:type="gramStart"/>
      <w:r>
        <w:rPr>
          <w:rFonts w:ascii="TimesNewRoman" w:eastAsia="仿宋_GB2312" w:hAnsi="TimesNewRoman" w:cs="TimesNewRoman" w:hint="eastAsia"/>
          <w:kern w:val="0"/>
          <w:sz w:val="32"/>
          <w:szCs w:val="32"/>
        </w:rPr>
        <w:t>人社厅</w:t>
      </w:r>
      <w:proofErr w:type="gramEnd"/>
      <w:r>
        <w:rPr>
          <w:rFonts w:ascii="TimesNewRoman" w:eastAsia="仿宋_GB2312" w:hAnsi="TimesNewRoman" w:cs="TimesNewRoman" w:hint="eastAsia"/>
          <w:kern w:val="0"/>
          <w:sz w:val="32"/>
          <w:szCs w:val="32"/>
        </w:rPr>
        <w:t>、省财政厅等</w:t>
      </w:r>
      <w:r>
        <w:rPr>
          <w:rFonts w:ascii="TimesNewRoman" w:eastAsia="仿宋_GB2312" w:hAnsi="TimesNewRoman" w:cs="TimesNewRoman" w:hint="eastAsia"/>
          <w:kern w:val="0"/>
          <w:sz w:val="32"/>
          <w:szCs w:val="32"/>
        </w:rPr>
        <w:t>8</w:t>
      </w:r>
      <w:r>
        <w:rPr>
          <w:rFonts w:ascii="TimesNewRoman" w:eastAsia="仿宋_GB2312" w:hAnsi="TimesNewRoman" w:cs="TimesNewRoman" w:hint="eastAsia"/>
          <w:kern w:val="0"/>
          <w:sz w:val="32"/>
          <w:szCs w:val="32"/>
        </w:rPr>
        <w:t>部门《关于进一步加强劳动人事争议调解仲裁完善多元化处理机制的实施意见》（</w:t>
      </w:r>
      <w:proofErr w:type="gramStart"/>
      <w:r>
        <w:rPr>
          <w:rFonts w:ascii="TimesNewRoman" w:eastAsia="仿宋_GB2312" w:hAnsi="TimesNewRoman" w:cs="TimesNewRoman" w:hint="eastAsia"/>
          <w:kern w:val="0"/>
          <w:sz w:val="32"/>
          <w:szCs w:val="32"/>
        </w:rPr>
        <w:t>皖人社发</w:t>
      </w:r>
      <w:proofErr w:type="gramEnd"/>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2017</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29</w:t>
      </w:r>
      <w:r>
        <w:rPr>
          <w:rFonts w:ascii="TimesNewRoman" w:eastAsia="仿宋_GB2312" w:hAnsi="TimesNewRoman" w:cs="TimesNewRoman" w:hint="eastAsia"/>
          <w:kern w:val="0"/>
          <w:sz w:val="32"/>
          <w:szCs w:val="32"/>
        </w:rPr>
        <w:t>号）第六部分第三项：将仲裁工作所需经费列入同级政府财政预算，为调解仲裁开展服务提供保障，积极给予经费支持；</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10 \* GB3 \* MERGEFORMAT </w:instrText>
      </w:r>
      <w:r w:rsidR="00EB0E71">
        <w:rPr>
          <w:rFonts w:ascii="TimesNewRoman" w:eastAsia="仿宋_GB2312" w:hAnsi="TimesNewRoman" w:cs="TimesNewRoman" w:hint="eastAsia"/>
          <w:kern w:val="0"/>
          <w:sz w:val="32"/>
          <w:szCs w:val="32"/>
        </w:rPr>
        <w:fldChar w:fldCharType="separate"/>
      </w:r>
      <w:r>
        <w:t>⑩</w:t>
      </w:r>
      <w:r w:rsidR="00EB0E71">
        <w:rPr>
          <w:rFonts w:ascii="TimesNewRoman" w:eastAsia="仿宋_GB2312" w:hAnsi="TimesNewRoman" w:cs="TimesNewRoman" w:hint="eastAsia"/>
          <w:kern w:val="0"/>
          <w:sz w:val="32"/>
          <w:szCs w:val="32"/>
        </w:rPr>
        <w:fldChar w:fldCharType="end"/>
      </w:r>
      <w:proofErr w:type="gramStart"/>
      <w:r>
        <w:rPr>
          <w:rFonts w:ascii="TimesNewRoman" w:eastAsia="仿宋_GB2312" w:hAnsi="TimesNewRoman" w:cs="TimesNewRoman" w:hint="eastAsia"/>
          <w:kern w:val="0"/>
          <w:sz w:val="32"/>
          <w:szCs w:val="32"/>
        </w:rPr>
        <w:t>人社部</w:t>
      </w:r>
      <w:proofErr w:type="gramEnd"/>
      <w:r>
        <w:rPr>
          <w:rFonts w:ascii="TimesNewRoman" w:eastAsia="仿宋_GB2312" w:hAnsi="TimesNewRoman" w:cs="TimesNewRoman" w:hint="eastAsia"/>
          <w:kern w:val="0"/>
          <w:sz w:val="32"/>
          <w:szCs w:val="32"/>
        </w:rPr>
        <w:t>、财政部等</w:t>
      </w:r>
      <w:r>
        <w:rPr>
          <w:rFonts w:ascii="TimesNewRoman" w:eastAsia="仿宋_GB2312" w:hAnsi="TimesNewRoman" w:cs="TimesNewRoman" w:hint="eastAsia"/>
          <w:kern w:val="0"/>
          <w:sz w:val="32"/>
          <w:szCs w:val="32"/>
        </w:rPr>
        <w:t>8</w:t>
      </w:r>
      <w:r>
        <w:rPr>
          <w:rFonts w:ascii="TimesNewRoman" w:eastAsia="仿宋_GB2312" w:hAnsi="TimesNewRoman" w:cs="TimesNewRoman" w:hint="eastAsia"/>
          <w:kern w:val="0"/>
          <w:sz w:val="32"/>
          <w:szCs w:val="32"/>
        </w:rPr>
        <w:t>部门《关于进一步加强劳动人事争议调解仲裁完善多元化处理机制的意见》（</w:t>
      </w:r>
      <w:proofErr w:type="gramStart"/>
      <w:r>
        <w:rPr>
          <w:rFonts w:ascii="TimesNewRoman" w:eastAsia="仿宋_GB2312" w:hAnsi="TimesNewRoman" w:cs="TimesNewRoman" w:hint="eastAsia"/>
          <w:kern w:val="0"/>
          <w:sz w:val="32"/>
          <w:szCs w:val="32"/>
        </w:rPr>
        <w:t>人社部</w:t>
      </w:r>
      <w:proofErr w:type="gramEnd"/>
      <w:r>
        <w:rPr>
          <w:rFonts w:ascii="TimesNewRoman" w:eastAsia="仿宋_GB2312" w:hAnsi="TimesNewRoman" w:cs="TimesNewRoman" w:hint="eastAsia"/>
          <w:kern w:val="0"/>
          <w:sz w:val="32"/>
          <w:szCs w:val="32"/>
        </w:rPr>
        <w:t>发〔</w:t>
      </w:r>
      <w:r>
        <w:rPr>
          <w:rFonts w:ascii="TimesNewRoman" w:eastAsia="仿宋_GB2312" w:hAnsi="TimesNewRoman" w:cs="TimesNewRoman" w:hint="eastAsia"/>
          <w:kern w:val="0"/>
          <w:sz w:val="32"/>
          <w:szCs w:val="32"/>
        </w:rPr>
        <w:t>2017</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26</w:t>
      </w:r>
      <w:r>
        <w:rPr>
          <w:rFonts w:ascii="TimesNewRoman" w:eastAsia="仿宋_GB2312" w:hAnsi="TimesNewRoman" w:cs="TimesNewRoman" w:hint="eastAsia"/>
          <w:kern w:val="0"/>
          <w:sz w:val="32"/>
          <w:szCs w:val="32"/>
        </w:rPr>
        <w:t>号）第六部分第十七项：同级财政预算予以保障，为开展仲裁活动提供支撑。</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lastRenderedPageBreak/>
        <w:t>（</w:t>
      </w:r>
      <w:r>
        <w:rPr>
          <w:rFonts w:ascii="TimesNewRoman" w:eastAsia="仿宋_GB2312" w:hAnsi="TimesNewRoman" w:cs="TimesNewRoman" w:hint="eastAsia"/>
          <w:kern w:val="0"/>
          <w:sz w:val="32"/>
          <w:szCs w:val="32"/>
        </w:rPr>
        <w:t>3</w:t>
      </w:r>
      <w:r>
        <w:rPr>
          <w:rFonts w:ascii="TimesNewRoman" w:eastAsia="仿宋_GB2312" w:hAnsi="TimesNewRoman" w:cs="TimesNewRoman" w:hint="eastAsia"/>
          <w:kern w:val="0"/>
          <w:sz w:val="32"/>
          <w:szCs w:val="32"/>
        </w:rPr>
        <w:t>）实施主体。淮北市劳动人事争议仲裁院。</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）起止时间。</w:t>
      </w:r>
      <w:r>
        <w:rPr>
          <w:rFonts w:ascii="Times New Roman" w:eastAsia="仿宋_GB2312" w:hAnsi="Times New Roman" w:cs="Times New Roman"/>
          <w:kern w:val="0"/>
          <w:sz w:val="32"/>
          <w:szCs w:val="32"/>
        </w:rPr>
        <w:t>202</w:t>
      </w:r>
      <w:r>
        <w:rPr>
          <w:rFonts w:ascii="Times New Roman" w:eastAsia="仿宋_GB2312" w:hAnsi="Times New Roman" w:cs="Times New Roman" w:hint="eastAsia"/>
          <w:kern w:val="0"/>
          <w:sz w:val="32"/>
          <w:szCs w:val="32"/>
        </w:rPr>
        <w:t>5</w:t>
      </w:r>
      <w:r>
        <w:rPr>
          <w:rFonts w:ascii="TimesNewRoman" w:eastAsia="仿宋_GB2312" w:hAnsi="TimesNewRoman" w:cs="TimesNewRoman" w:hint="eastAsia"/>
          <w:kern w:val="0"/>
          <w:sz w:val="32"/>
          <w:szCs w:val="32"/>
        </w:rPr>
        <w:t>年</w:t>
      </w:r>
      <w:r>
        <w:rPr>
          <w:rFonts w:ascii="Times New Roman" w:eastAsia="仿宋_GB2312" w:hAnsi="Times New Roman" w:cs="Times New Roman"/>
          <w:kern w:val="0"/>
          <w:sz w:val="32"/>
          <w:szCs w:val="32"/>
        </w:rPr>
        <w:t>1</w:t>
      </w:r>
      <w:r>
        <w:rPr>
          <w:rFonts w:ascii="TimesNewRoman" w:eastAsia="仿宋_GB2312" w:hAnsi="TimesNewRoman" w:cs="TimesNewRoman" w:hint="eastAsia"/>
          <w:kern w:val="0"/>
          <w:sz w:val="32"/>
          <w:szCs w:val="32"/>
        </w:rPr>
        <w:t>月</w:t>
      </w:r>
      <w:r>
        <w:rPr>
          <w:rFonts w:ascii="TimesNewRoman" w:eastAsia="仿宋_GB2312" w:hAnsi="TimesNewRoman" w:cs="TimesNewRoman" w:hint="eastAsia"/>
          <w:kern w:val="0"/>
          <w:sz w:val="32"/>
          <w:szCs w:val="32"/>
        </w:rPr>
        <w:t>-</w:t>
      </w:r>
      <w:r>
        <w:rPr>
          <w:rFonts w:ascii="Times New Roman" w:eastAsia="仿宋_GB2312" w:hAnsi="Times New Roman" w:cs="Times New Roman"/>
          <w:kern w:val="0"/>
          <w:sz w:val="32"/>
          <w:szCs w:val="32"/>
        </w:rPr>
        <w:t>202</w:t>
      </w:r>
      <w:r>
        <w:rPr>
          <w:rFonts w:ascii="Times New Roman" w:eastAsia="仿宋_GB2312" w:hAnsi="Times New Roman" w:cs="Times New Roman" w:hint="eastAsia"/>
          <w:kern w:val="0"/>
          <w:sz w:val="32"/>
          <w:szCs w:val="32"/>
        </w:rPr>
        <w:t>5</w:t>
      </w:r>
      <w:r>
        <w:rPr>
          <w:rFonts w:ascii="TimesNewRoman" w:eastAsia="仿宋_GB2312" w:hAnsi="TimesNewRoman" w:cs="TimesNewRoman" w:hint="eastAsia"/>
          <w:kern w:val="0"/>
          <w:sz w:val="32"/>
          <w:szCs w:val="32"/>
        </w:rPr>
        <w:t>年</w:t>
      </w:r>
      <w:r>
        <w:rPr>
          <w:rFonts w:ascii="Times New Roman" w:eastAsia="仿宋_GB2312" w:hAnsi="Times New Roman" w:cs="Times New Roman"/>
          <w:kern w:val="0"/>
          <w:sz w:val="32"/>
          <w:szCs w:val="32"/>
        </w:rPr>
        <w:t>12</w:t>
      </w:r>
      <w:r>
        <w:rPr>
          <w:rFonts w:ascii="TimesNewRoman" w:eastAsia="仿宋_GB2312" w:hAnsi="TimesNewRoman" w:cs="TimesNewRoman" w:hint="eastAsia"/>
          <w:kern w:val="0"/>
          <w:sz w:val="32"/>
          <w:szCs w:val="32"/>
        </w:rPr>
        <w:t>月。</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）项目内容。处理人事纠纷工作，依法查处和打击违法用工，以及开展劳动力市场清理整顿、劳动用工和社会保障专项检查、根治</w:t>
      </w:r>
      <w:proofErr w:type="gramStart"/>
      <w:r>
        <w:rPr>
          <w:rFonts w:ascii="TimesNewRoman" w:eastAsia="仿宋_GB2312" w:hAnsi="TimesNewRoman" w:cs="TimesNewRoman" w:hint="eastAsia"/>
          <w:kern w:val="0"/>
          <w:sz w:val="32"/>
          <w:szCs w:val="32"/>
        </w:rPr>
        <w:t>欠薪专项</w:t>
      </w:r>
      <w:proofErr w:type="gramEnd"/>
      <w:r>
        <w:rPr>
          <w:rFonts w:ascii="TimesNewRoman" w:eastAsia="仿宋_GB2312" w:hAnsi="TimesNewRoman" w:cs="TimesNewRoman" w:hint="eastAsia"/>
          <w:kern w:val="0"/>
          <w:sz w:val="32"/>
          <w:szCs w:val="32"/>
        </w:rPr>
        <w:t>检查等各项检查工作而开展的办公费、印刷费</w:t>
      </w:r>
      <w:r>
        <w:rPr>
          <w:rFonts w:ascii="Times New Roman" w:eastAsia="仿宋_GB2312" w:hAnsi="Times New Roman" w:cs="Times New Roman" w:hint="eastAsia"/>
          <w:kern w:val="0"/>
          <w:sz w:val="32"/>
          <w:szCs w:val="32"/>
        </w:rPr>
        <w:t>、</w:t>
      </w:r>
      <w:r>
        <w:rPr>
          <w:rFonts w:ascii="TimesNewRoman" w:eastAsia="仿宋_GB2312" w:hAnsi="TimesNewRoman" w:cs="TimesNewRoman" w:hint="eastAsia"/>
          <w:kern w:val="0"/>
          <w:sz w:val="32"/>
          <w:szCs w:val="32"/>
        </w:rPr>
        <w:t>水电费</w:t>
      </w:r>
      <w:r>
        <w:rPr>
          <w:rFonts w:ascii="Times New Roman" w:eastAsia="仿宋_GB2312" w:hAnsi="Times New Roman" w:cs="Times New Roman" w:hint="eastAsia"/>
          <w:kern w:val="0"/>
          <w:sz w:val="32"/>
          <w:szCs w:val="32"/>
        </w:rPr>
        <w:t>、</w:t>
      </w:r>
      <w:r>
        <w:rPr>
          <w:rFonts w:ascii="TimesNewRoman" w:eastAsia="仿宋_GB2312" w:hAnsi="TimesNewRoman" w:cs="TimesNewRoman" w:hint="eastAsia"/>
          <w:kern w:val="0"/>
          <w:sz w:val="32"/>
          <w:szCs w:val="32"/>
        </w:rPr>
        <w:t>邮电费</w:t>
      </w:r>
      <w:r>
        <w:rPr>
          <w:rFonts w:ascii="Times New Roman" w:eastAsia="仿宋_GB2312" w:hAnsi="Times New Roman" w:cs="Times New Roman" w:hint="eastAsia"/>
          <w:kern w:val="0"/>
          <w:sz w:val="32"/>
          <w:szCs w:val="32"/>
        </w:rPr>
        <w:t>、</w:t>
      </w:r>
      <w:r>
        <w:rPr>
          <w:rFonts w:ascii="TimesNewRoman" w:eastAsia="仿宋_GB2312" w:hAnsi="TimesNewRoman" w:cs="TimesNewRoman" w:hint="eastAsia"/>
          <w:kern w:val="0"/>
          <w:sz w:val="32"/>
          <w:szCs w:val="32"/>
        </w:rPr>
        <w:t>差旅费、维修（护）费</w:t>
      </w:r>
      <w:r>
        <w:rPr>
          <w:rFonts w:ascii="Times New Roman" w:eastAsia="仿宋_GB2312" w:hAnsi="Times New Roman" w:cs="Times New Roman" w:hint="eastAsia"/>
          <w:kern w:val="0"/>
          <w:sz w:val="32"/>
          <w:szCs w:val="32"/>
        </w:rPr>
        <w:t>、</w:t>
      </w:r>
      <w:r>
        <w:rPr>
          <w:rFonts w:ascii="TimesNewRoman" w:eastAsia="仿宋_GB2312" w:hAnsi="TimesNewRoman" w:cs="TimesNewRoman" w:hint="eastAsia"/>
          <w:kern w:val="0"/>
          <w:sz w:val="32"/>
          <w:szCs w:val="32"/>
        </w:rPr>
        <w:t>培训费、其他商品和服务支出</w:t>
      </w:r>
      <w:r>
        <w:rPr>
          <w:rFonts w:ascii="Times New Roman" w:eastAsia="仿宋_GB2312" w:hAnsi="Times New Roman" w:cs="Times New Roman" w:hint="eastAsia"/>
          <w:kern w:val="0"/>
          <w:sz w:val="32"/>
          <w:szCs w:val="32"/>
        </w:rPr>
        <w:t>等</w:t>
      </w:r>
      <w:r>
        <w:rPr>
          <w:rFonts w:ascii="TimesNewRoman" w:eastAsia="仿宋_GB2312" w:hAnsi="TimesNewRoman" w:cs="TimesNewRoman" w:hint="eastAsia"/>
          <w:kern w:val="0"/>
          <w:sz w:val="32"/>
          <w:szCs w:val="32"/>
        </w:rPr>
        <w:t>。</w:t>
      </w:r>
    </w:p>
    <w:p w:rsidR="00C22284" w:rsidRDefault="00705CC2">
      <w:pPr>
        <w:ind w:firstLineChars="200" w:firstLine="640"/>
        <w:rPr>
          <w:rFonts w:ascii="仿宋_GB2312" w:eastAsia="仿宋_GB2312" w:hAnsi="仿宋"/>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6</w:t>
      </w:r>
      <w:r>
        <w:rPr>
          <w:rFonts w:ascii="TimesNewRoman" w:eastAsia="仿宋_GB2312" w:hAnsi="TimesNewRoman" w:cs="TimesNewRoman" w:hint="eastAsia"/>
          <w:kern w:val="0"/>
          <w:sz w:val="32"/>
          <w:szCs w:val="32"/>
        </w:rPr>
        <w:t>）年度预算安排。</w:t>
      </w:r>
      <w:r>
        <w:rPr>
          <w:rFonts w:ascii="Times New Roman" w:eastAsia="仿宋_GB2312" w:hAnsi="Times New Roman" w:cs="Times New Roman"/>
          <w:sz w:val="32"/>
          <w:szCs w:val="32"/>
        </w:rPr>
        <w:t>202</w:t>
      </w:r>
      <w:r>
        <w:rPr>
          <w:rFonts w:ascii="Times New Roman" w:eastAsia="仿宋_GB2312" w:hAnsi="Times New Roman" w:cs="Times New Roman" w:hint="eastAsia"/>
          <w:sz w:val="32"/>
          <w:szCs w:val="32"/>
        </w:rPr>
        <w:t>5</w:t>
      </w:r>
      <w:r>
        <w:rPr>
          <w:rFonts w:ascii="仿宋_GB2312" w:eastAsia="仿宋_GB2312" w:hAnsi="楷体" w:hint="eastAsia"/>
          <w:sz w:val="32"/>
          <w:szCs w:val="32"/>
        </w:rPr>
        <w:t>年度预算安排</w:t>
      </w:r>
      <w:r>
        <w:rPr>
          <w:rFonts w:ascii="Times New Roman" w:eastAsia="仿宋_GB2312" w:hAnsi="Times New Roman" w:cs="Times New Roman" w:hint="eastAsia"/>
          <w:sz w:val="32"/>
          <w:szCs w:val="32"/>
        </w:rPr>
        <w:t>39</w:t>
      </w:r>
      <w:r>
        <w:rPr>
          <w:rFonts w:ascii="仿宋_GB2312" w:eastAsia="仿宋_GB2312" w:hAnsi="仿宋" w:hint="eastAsia"/>
          <w:sz w:val="32"/>
          <w:szCs w:val="32"/>
        </w:rPr>
        <w:t>万元。</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7</w:t>
      </w:r>
      <w:r>
        <w:rPr>
          <w:rFonts w:ascii="TimesNewRoman" w:eastAsia="仿宋_GB2312" w:hAnsi="TimesNewRoman" w:cs="TimesNewRoman" w:hint="eastAsia"/>
          <w:kern w:val="0"/>
          <w:sz w:val="32"/>
          <w:szCs w:val="32"/>
        </w:rPr>
        <w:t>）绩效目标。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38"/>
        <w:gridCol w:w="723"/>
        <w:gridCol w:w="282"/>
        <w:gridCol w:w="477"/>
        <w:gridCol w:w="2872"/>
        <w:gridCol w:w="1848"/>
        <w:gridCol w:w="2380"/>
      </w:tblGrid>
      <w:tr w:rsidR="00C22284">
        <w:trPr>
          <w:trHeight w:val="253"/>
        </w:trPr>
        <w:tc>
          <w:tcPr>
            <w:tcW w:w="9020" w:type="dxa"/>
            <w:gridSpan w:val="7"/>
            <w:tcBorders>
              <w:top w:val="nil"/>
              <w:left w:val="nil"/>
              <w:bottom w:val="nil"/>
              <w:right w:val="nil"/>
            </w:tcBorders>
            <w:vAlign w:val="center"/>
          </w:tcPr>
          <w:p w:rsidR="00C22284" w:rsidRDefault="00705CC2">
            <w:pPr>
              <w:widowControl/>
              <w:jc w:val="center"/>
              <w:textAlignment w:val="center"/>
              <w:rPr>
                <w:rFonts w:ascii="宋体" w:cs="宋体"/>
                <w:b/>
                <w:bCs/>
                <w:szCs w:val="32"/>
              </w:rPr>
            </w:pPr>
            <w:r>
              <w:rPr>
                <w:rFonts w:ascii="宋体" w:eastAsia="宋体" w:hAnsi="宋体" w:cs="宋体" w:hint="eastAsia"/>
                <w:b/>
                <w:color w:val="000000"/>
                <w:kern w:val="0"/>
                <w:sz w:val="28"/>
                <w:szCs w:val="28"/>
              </w:rPr>
              <w:t>项目支出绩效目标表</w:t>
            </w:r>
          </w:p>
        </w:tc>
      </w:tr>
      <w:tr w:rsidR="00C22284">
        <w:trPr>
          <w:trHeight w:val="270"/>
        </w:trPr>
        <w:tc>
          <w:tcPr>
            <w:tcW w:w="9020" w:type="dxa"/>
            <w:gridSpan w:val="7"/>
            <w:tcBorders>
              <w:top w:val="nil"/>
              <w:left w:val="nil"/>
              <w:right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 xml:space="preserve"> （2025年度）                                </w:t>
            </w:r>
          </w:p>
        </w:tc>
      </w:tr>
      <w:tr w:rsidR="00C22284">
        <w:trPr>
          <w:trHeight w:val="330"/>
        </w:trPr>
        <w:tc>
          <w:tcPr>
            <w:tcW w:w="1443" w:type="dxa"/>
            <w:gridSpan w:val="3"/>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项目名称</w:t>
            </w:r>
          </w:p>
        </w:tc>
        <w:tc>
          <w:tcPr>
            <w:tcW w:w="7577" w:type="dxa"/>
            <w:gridSpan w:val="4"/>
            <w:tcBorders>
              <w:tl2br w:val="nil"/>
              <w:tr2bl w:val="nil"/>
            </w:tcBorders>
            <w:vAlign w:val="center"/>
          </w:tcPr>
          <w:p w:rsidR="00C22284" w:rsidRDefault="00705CC2">
            <w:pPr>
              <w:jc w:val="center"/>
              <w:rPr>
                <w:rFonts w:ascii="宋体" w:cs="宋体"/>
                <w:sz w:val="20"/>
              </w:rPr>
            </w:pPr>
            <w:r>
              <w:rPr>
                <w:rFonts w:ascii="宋体" w:cs="宋体" w:hint="eastAsia"/>
                <w:sz w:val="20"/>
              </w:rPr>
              <w:t>劳动仲裁（维权）办案经费</w:t>
            </w:r>
          </w:p>
        </w:tc>
      </w:tr>
      <w:tr w:rsidR="00C22284">
        <w:trPr>
          <w:trHeight w:val="491"/>
        </w:trPr>
        <w:tc>
          <w:tcPr>
            <w:tcW w:w="1443" w:type="dxa"/>
            <w:gridSpan w:val="3"/>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主管部门   及代码</w:t>
            </w:r>
          </w:p>
        </w:tc>
        <w:tc>
          <w:tcPr>
            <w:tcW w:w="3349" w:type="dxa"/>
            <w:gridSpan w:val="2"/>
            <w:tcBorders>
              <w:tl2br w:val="nil"/>
              <w:tr2bl w:val="nil"/>
            </w:tcBorders>
            <w:vAlign w:val="center"/>
          </w:tcPr>
          <w:p w:rsidR="00C22284" w:rsidRDefault="00705CC2">
            <w:pPr>
              <w:jc w:val="center"/>
              <w:rPr>
                <w:rFonts w:ascii="宋体" w:cs="宋体"/>
                <w:sz w:val="20"/>
              </w:rPr>
            </w:pPr>
            <w:r>
              <w:rPr>
                <w:rFonts w:ascii="Times New Roman" w:hAnsi="Times New Roman" w:cs="Times New Roman"/>
                <w:sz w:val="20"/>
              </w:rPr>
              <w:t>104</w:t>
            </w:r>
            <w:r>
              <w:rPr>
                <w:rFonts w:ascii="宋体" w:cs="宋体" w:hint="eastAsia"/>
                <w:sz w:val="20"/>
              </w:rPr>
              <w:t>-淮北市人力资源和社会保障局</w:t>
            </w:r>
          </w:p>
        </w:tc>
        <w:tc>
          <w:tcPr>
            <w:tcW w:w="1848" w:type="dxa"/>
            <w:tcBorders>
              <w:tl2br w:val="nil"/>
              <w:tr2bl w:val="nil"/>
            </w:tcBorders>
            <w:vAlign w:val="center"/>
          </w:tcPr>
          <w:p w:rsidR="00C22284" w:rsidRDefault="00705CC2">
            <w:pPr>
              <w:widowControl/>
              <w:jc w:val="center"/>
              <w:textAlignment w:val="center"/>
            </w:pPr>
            <w:r>
              <w:rPr>
                <w:rFonts w:ascii="宋体" w:eastAsia="宋体" w:hAnsi="宋体" w:cs="宋体" w:hint="eastAsia"/>
                <w:color w:val="000000"/>
                <w:kern w:val="0"/>
                <w:sz w:val="20"/>
                <w:szCs w:val="20"/>
              </w:rPr>
              <w:t>实施单位</w:t>
            </w:r>
          </w:p>
        </w:tc>
        <w:tc>
          <w:tcPr>
            <w:tcW w:w="2380" w:type="dxa"/>
            <w:tcBorders>
              <w:tl2br w:val="nil"/>
              <w:tr2bl w:val="nil"/>
            </w:tcBorders>
            <w:vAlign w:val="center"/>
          </w:tcPr>
          <w:p w:rsidR="00C22284" w:rsidRDefault="00705CC2">
            <w:pPr>
              <w:jc w:val="center"/>
            </w:pPr>
            <w:r>
              <w:rPr>
                <w:rFonts w:ascii="Times New Roman" w:hAnsi="Times New Roman" w:cs="Times New Roman" w:hint="eastAsia"/>
                <w:sz w:val="20"/>
              </w:rPr>
              <w:t>淮北市劳动人事争议仲裁院</w:t>
            </w:r>
          </w:p>
        </w:tc>
      </w:tr>
      <w:tr w:rsidR="00C22284">
        <w:trPr>
          <w:trHeight w:val="330"/>
        </w:trPr>
        <w:tc>
          <w:tcPr>
            <w:tcW w:w="1443" w:type="dxa"/>
            <w:gridSpan w:val="3"/>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项目来源</w:t>
            </w:r>
          </w:p>
        </w:tc>
        <w:tc>
          <w:tcPr>
            <w:tcW w:w="3349" w:type="dxa"/>
            <w:gridSpan w:val="2"/>
            <w:tcBorders>
              <w:tl2br w:val="nil"/>
              <w:tr2bl w:val="nil"/>
            </w:tcBorders>
            <w:vAlign w:val="center"/>
          </w:tcPr>
          <w:p w:rsidR="00C22284" w:rsidRDefault="00705CC2">
            <w:pPr>
              <w:jc w:val="center"/>
              <w:rPr>
                <w:rFonts w:ascii="宋体" w:cs="宋体"/>
                <w:sz w:val="20"/>
              </w:rPr>
            </w:pPr>
            <w:r>
              <w:rPr>
                <w:rFonts w:ascii="Times New Roman" w:hAnsi="Times New Roman" w:cs="Times New Roman"/>
                <w:sz w:val="20"/>
              </w:rPr>
              <w:t>1</w:t>
            </w:r>
            <w:r>
              <w:rPr>
                <w:rFonts w:ascii="宋体" w:cs="宋体" w:hint="eastAsia"/>
                <w:sz w:val="20"/>
              </w:rPr>
              <w:t>-本级申报项目</w:t>
            </w:r>
          </w:p>
        </w:tc>
        <w:tc>
          <w:tcPr>
            <w:tcW w:w="1848" w:type="dxa"/>
            <w:tcBorders>
              <w:tl2br w:val="nil"/>
              <w:tr2bl w:val="nil"/>
            </w:tcBorders>
            <w:vAlign w:val="center"/>
          </w:tcPr>
          <w:p w:rsidR="00C22284" w:rsidRDefault="00705CC2">
            <w:pPr>
              <w:widowControl/>
              <w:jc w:val="center"/>
              <w:textAlignment w:val="center"/>
            </w:pPr>
            <w:r>
              <w:rPr>
                <w:rFonts w:ascii="宋体" w:eastAsia="宋体" w:hAnsi="宋体" w:cs="宋体" w:hint="eastAsia"/>
                <w:color w:val="000000"/>
                <w:kern w:val="0"/>
                <w:sz w:val="20"/>
                <w:szCs w:val="20"/>
              </w:rPr>
              <w:t>项目期</w:t>
            </w:r>
          </w:p>
        </w:tc>
        <w:tc>
          <w:tcPr>
            <w:tcW w:w="2380" w:type="dxa"/>
            <w:tcBorders>
              <w:tl2br w:val="nil"/>
              <w:tr2bl w:val="nil"/>
            </w:tcBorders>
            <w:vAlign w:val="center"/>
          </w:tcPr>
          <w:p w:rsidR="00C22284" w:rsidRDefault="00705CC2">
            <w:pPr>
              <w:jc w:val="center"/>
            </w:pPr>
            <w:r>
              <w:rPr>
                <w:rFonts w:ascii="Times New Roman" w:hAnsi="Times New Roman" w:cs="Times New Roman"/>
              </w:rPr>
              <w:t>202</w:t>
            </w:r>
            <w:r>
              <w:rPr>
                <w:rFonts w:ascii="Times New Roman" w:hAnsi="Times New Roman" w:cs="Times New Roman" w:hint="eastAsia"/>
              </w:rPr>
              <w:t>5</w:t>
            </w:r>
            <w:r>
              <w:rPr>
                <w:rFonts w:hint="eastAsia"/>
              </w:rPr>
              <w:t>.</w:t>
            </w:r>
            <w:r>
              <w:rPr>
                <w:rFonts w:ascii="Times New Roman" w:hAnsi="Times New Roman" w:cs="Times New Roman"/>
              </w:rPr>
              <w:t>1</w:t>
            </w:r>
            <w:r>
              <w:rPr>
                <w:rFonts w:hint="eastAsia"/>
              </w:rPr>
              <w:t>-</w:t>
            </w:r>
            <w:r>
              <w:rPr>
                <w:rFonts w:ascii="Times New Roman" w:hAnsi="Times New Roman" w:cs="Times New Roman"/>
              </w:rPr>
              <w:t>202</w:t>
            </w:r>
            <w:r>
              <w:rPr>
                <w:rFonts w:ascii="Times New Roman" w:hAnsi="Times New Roman" w:cs="Times New Roman" w:hint="eastAsia"/>
              </w:rPr>
              <w:t>5</w:t>
            </w:r>
            <w:r>
              <w:rPr>
                <w:rFonts w:hint="eastAsia"/>
              </w:rPr>
              <w:t>.</w:t>
            </w:r>
            <w:r>
              <w:rPr>
                <w:rFonts w:ascii="Times New Roman" w:hAnsi="Times New Roman" w:cs="Times New Roman"/>
              </w:rPr>
              <w:t>12</w:t>
            </w:r>
          </w:p>
        </w:tc>
      </w:tr>
      <w:tr w:rsidR="00C22284">
        <w:trPr>
          <w:trHeight w:val="330"/>
        </w:trPr>
        <w:tc>
          <w:tcPr>
            <w:tcW w:w="1443" w:type="dxa"/>
            <w:gridSpan w:val="3"/>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项目资金</w:t>
            </w:r>
            <w:r>
              <w:rPr>
                <w:rFonts w:ascii="宋体" w:eastAsia="宋体" w:hAnsi="宋体" w:cs="宋体" w:hint="eastAsia"/>
                <w:color w:val="000000"/>
                <w:kern w:val="0"/>
                <w:sz w:val="20"/>
                <w:szCs w:val="20"/>
              </w:rPr>
              <w:br/>
              <w:t>（万元）</w:t>
            </w: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年度资金总额：</w:t>
            </w:r>
          </w:p>
        </w:tc>
        <w:tc>
          <w:tcPr>
            <w:tcW w:w="4228" w:type="dxa"/>
            <w:gridSpan w:val="2"/>
            <w:tcBorders>
              <w:tl2br w:val="nil"/>
              <w:tr2bl w:val="nil"/>
            </w:tcBorders>
            <w:vAlign w:val="center"/>
          </w:tcPr>
          <w:p w:rsidR="00C22284" w:rsidRDefault="00705CC2">
            <w:pPr>
              <w:jc w:val="right"/>
              <w:rPr>
                <w:rFonts w:ascii="宋体" w:cs="宋体"/>
                <w:sz w:val="20"/>
              </w:rPr>
            </w:pPr>
            <w:r>
              <w:rPr>
                <w:rFonts w:ascii="宋体" w:cs="宋体" w:hint="eastAsia"/>
                <w:sz w:val="20"/>
              </w:rPr>
              <w:t>39</w:t>
            </w: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其中：财政拨款</w:t>
            </w:r>
          </w:p>
        </w:tc>
        <w:tc>
          <w:tcPr>
            <w:tcW w:w="4228" w:type="dxa"/>
            <w:gridSpan w:val="2"/>
            <w:tcBorders>
              <w:tl2br w:val="nil"/>
              <w:tr2bl w:val="nil"/>
            </w:tcBorders>
            <w:vAlign w:val="center"/>
          </w:tcPr>
          <w:p w:rsidR="00C22284" w:rsidRDefault="00705CC2">
            <w:pPr>
              <w:jc w:val="right"/>
              <w:rPr>
                <w:rFonts w:ascii="宋体" w:cs="宋体"/>
                <w:sz w:val="20"/>
              </w:rPr>
            </w:pPr>
            <w:r>
              <w:rPr>
                <w:rFonts w:ascii="宋体" w:cs="宋体" w:hint="eastAsia"/>
                <w:sz w:val="20"/>
              </w:rPr>
              <w:t>39</w:t>
            </w: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上年结转</w:t>
            </w:r>
          </w:p>
        </w:tc>
        <w:tc>
          <w:tcPr>
            <w:tcW w:w="4228" w:type="dxa"/>
            <w:gridSpan w:val="2"/>
            <w:tcBorders>
              <w:tl2br w:val="nil"/>
              <w:tr2bl w:val="nil"/>
            </w:tcBorders>
            <w:vAlign w:val="center"/>
          </w:tcPr>
          <w:p w:rsidR="00C22284" w:rsidRDefault="00C22284">
            <w:pPr>
              <w:jc w:val="center"/>
              <w:rPr>
                <w:rFonts w:ascii="宋体" w:cs="宋体"/>
                <w:sz w:val="20"/>
              </w:rPr>
            </w:pP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其他资金</w:t>
            </w:r>
          </w:p>
        </w:tc>
        <w:tc>
          <w:tcPr>
            <w:tcW w:w="4228" w:type="dxa"/>
            <w:gridSpan w:val="2"/>
            <w:tcBorders>
              <w:tl2br w:val="nil"/>
              <w:tr2bl w:val="nil"/>
            </w:tcBorders>
            <w:vAlign w:val="center"/>
          </w:tcPr>
          <w:p w:rsidR="00C22284" w:rsidRDefault="00C22284">
            <w:pPr>
              <w:jc w:val="right"/>
              <w:rPr>
                <w:rFonts w:ascii="宋体" w:cs="宋体"/>
                <w:sz w:val="20"/>
              </w:rPr>
            </w:pPr>
          </w:p>
        </w:tc>
      </w:tr>
      <w:tr w:rsidR="00C22284">
        <w:trPr>
          <w:trHeight w:val="1015"/>
        </w:trPr>
        <w:tc>
          <w:tcPr>
            <w:tcW w:w="438" w:type="dxa"/>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年度</w:t>
            </w:r>
            <w:r>
              <w:rPr>
                <w:rFonts w:ascii="宋体" w:eastAsia="宋体" w:hAnsi="宋体" w:cs="宋体" w:hint="eastAsia"/>
                <w:color w:val="000000"/>
                <w:kern w:val="0"/>
                <w:sz w:val="20"/>
                <w:szCs w:val="20"/>
              </w:rPr>
              <w:br/>
              <w:t>目标</w:t>
            </w:r>
          </w:p>
        </w:tc>
        <w:tc>
          <w:tcPr>
            <w:tcW w:w="8582" w:type="dxa"/>
            <w:gridSpan w:val="6"/>
            <w:tcBorders>
              <w:tl2br w:val="nil"/>
              <w:tr2bl w:val="nil"/>
            </w:tcBorders>
            <w:vAlign w:val="center"/>
          </w:tcPr>
          <w:p w:rsidR="00C22284" w:rsidRDefault="00705CC2">
            <w:pPr>
              <w:jc w:val="left"/>
              <w:rPr>
                <w:rFonts w:ascii="宋体" w:cs="宋体"/>
                <w:sz w:val="20"/>
              </w:rPr>
            </w:pPr>
            <w:r>
              <w:rPr>
                <w:rFonts w:ascii="宋体" w:cs="宋体" w:hint="eastAsia"/>
                <w:sz w:val="20"/>
              </w:rPr>
              <w:t>通过项目的实施，进一步提升劳动人事争议仲裁（维权）的工作力度，引导劳资双方树立规范用工、遵规守法意识；及时办理各类劳动人事争议仲裁和劳动保障维权案件，协助市</w:t>
            </w:r>
            <w:proofErr w:type="gramStart"/>
            <w:r>
              <w:rPr>
                <w:rFonts w:ascii="宋体" w:cs="宋体" w:hint="eastAsia"/>
                <w:sz w:val="20"/>
              </w:rPr>
              <w:t>人社局</w:t>
            </w:r>
            <w:proofErr w:type="gramEnd"/>
            <w:r>
              <w:rPr>
                <w:rFonts w:ascii="宋体" w:cs="宋体" w:hint="eastAsia"/>
                <w:sz w:val="20"/>
              </w:rPr>
              <w:t>办理劳动保障监察案件，切实维护劳动者合法权益。</w:t>
            </w:r>
          </w:p>
        </w:tc>
      </w:tr>
      <w:tr w:rsidR="00C22284">
        <w:trPr>
          <w:trHeight w:val="508"/>
        </w:trPr>
        <w:tc>
          <w:tcPr>
            <w:tcW w:w="438"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绩</w:t>
            </w:r>
            <w:r>
              <w:rPr>
                <w:rFonts w:ascii="宋体" w:eastAsia="宋体" w:hAnsi="宋体" w:cs="宋体" w:hint="eastAsia"/>
                <w:color w:val="000000"/>
                <w:kern w:val="0"/>
                <w:sz w:val="20"/>
                <w:szCs w:val="20"/>
              </w:rPr>
              <w:br/>
              <w:t>效</w:t>
            </w:r>
            <w:r>
              <w:rPr>
                <w:rFonts w:ascii="宋体" w:eastAsia="宋体" w:hAnsi="宋体" w:cs="宋体" w:hint="eastAsia"/>
                <w:color w:val="000000"/>
                <w:kern w:val="0"/>
                <w:sz w:val="20"/>
                <w:szCs w:val="20"/>
              </w:rPr>
              <w:br/>
              <w:t>指</w:t>
            </w:r>
            <w:r>
              <w:rPr>
                <w:rFonts w:ascii="宋体" w:eastAsia="宋体" w:hAnsi="宋体" w:cs="宋体" w:hint="eastAsia"/>
                <w:color w:val="000000"/>
                <w:kern w:val="0"/>
                <w:sz w:val="20"/>
                <w:szCs w:val="20"/>
              </w:rPr>
              <w:br/>
              <w:t>标</w:t>
            </w:r>
          </w:p>
        </w:tc>
        <w:tc>
          <w:tcPr>
            <w:tcW w:w="723" w:type="dxa"/>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一级</w:t>
            </w:r>
            <w:r>
              <w:rPr>
                <w:rFonts w:ascii="宋体" w:eastAsia="宋体" w:hAnsi="宋体" w:cs="宋体" w:hint="eastAsia"/>
                <w:color w:val="000000"/>
                <w:kern w:val="0"/>
                <w:sz w:val="20"/>
                <w:szCs w:val="20"/>
              </w:rPr>
              <w:br/>
              <w:t>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二级指标</w:t>
            </w:r>
          </w:p>
        </w:tc>
        <w:tc>
          <w:tcPr>
            <w:tcW w:w="2872" w:type="dxa"/>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三级指标</w:t>
            </w:r>
          </w:p>
        </w:tc>
        <w:tc>
          <w:tcPr>
            <w:tcW w:w="4228" w:type="dxa"/>
            <w:gridSpan w:val="2"/>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指标值</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产出指标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数量指标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指标1：劳动争议案件结案率  </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eastAsia="宋体" w:hAnsi="宋体" w:cs="宋体" w:hint="eastAsia"/>
                <w:color w:val="000000"/>
                <w:kern w:val="0"/>
                <w:sz w:val="20"/>
                <w:szCs w:val="20"/>
              </w:rPr>
              <w:t>≥</w:t>
            </w:r>
            <w:r>
              <w:rPr>
                <w:rFonts w:ascii="宋体" w:cs="宋体" w:hint="eastAsia"/>
                <w:sz w:val="20"/>
              </w:rPr>
              <w:t>92%</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质量指标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指标1：高质量完成劳动争议案件率</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w:t>
            </w:r>
            <w:r>
              <w:rPr>
                <w:rFonts w:ascii="Times New Roman" w:eastAsia="宋体" w:hAnsi="Times New Roman" w:cs="Times New Roman"/>
                <w:color w:val="000000"/>
                <w:kern w:val="0"/>
                <w:sz w:val="20"/>
                <w:szCs w:val="20"/>
              </w:rPr>
              <w:t>9</w:t>
            </w:r>
            <w:r>
              <w:rPr>
                <w:rFonts w:ascii="Times New Roman" w:eastAsia="宋体" w:hAnsi="Times New Roman" w:cs="Times New Roman" w:hint="eastAsia"/>
                <w:color w:val="000000"/>
                <w:kern w:val="0"/>
                <w:sz w:val="20"/>
                <w:szCs w:val="20"/>
              </w:rPr>
              <w:t>8%</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时效指标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指标1：在法律规定时效内结案</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Times New Roman" w:eastAsia="宋体" w:hAnsi="Times New Roman" w:cs="Times New Roman" w:hint="eastAsia"/>
                <w:color w:val="000000"/>
                <w:kern w:val="0"/>
                <w:sz w:val="20"/>
                <w:szCs w:val="20"/>
              </w:rPr>
              <w:t>45</w:t>
            </w:r>
            <w:r>
              <w:rPr>
                <w:rFonts w:ascii="Times New Roman" w:eastAsia="宋体" w:hAnsi="Times New Roman" w:cs="Times New Roman" w:hint="eastAsia"/>
                <w:color w:val="000000"/>
                <w:kern w:val="0"/>
                <w:sz w:val="20"/>
                <w:szCs w:val="20"/>
              </w:rPr>
              <w:t>天</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成本指标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指标1：减少仲裁专递送达次数</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w:t>
            </w:r>
            <w:r>
              <w:rPr>
                <w:rFonts w:ascii="Times New Roman" w:eastAsia="宋体" w:hAnsi="Times New Roman" w:cs="Times New Roman"/>
                <w:color w:val="000000"/>
                <w:kern w:val="0"/>
                <w:sz w:val="20"/>
                <w:szCs w:val="20"/>
              </w:rPr>
              <w:t>30</w:t>
            </w:r>
            <w:r>
              <w:rPr>
                <w:rFonts w:ascii="宋体" w:eastAsia="宋体" w:hAnsi="宋体" w:cs="宋体" w:hint="eastAsia"/>
                <w:color w:val="000000"/>
                <w:kern w:val="0"/>
                <w:sz w:val="20"/>
                <w:szCs w:val="20"/>
              </w:rPr>
              <w:t>元/案</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效益指标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经济效益指标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指标1：劳动者得到应得利益</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 xml:space="preserve">劳动者相关待遇得到保证      </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社会效益指标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指标1：维护了劳动关系的和谐稳定</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高效提升</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生态效益指标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指标1：不适用</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不适用</w:t>
            </w:r>
          </w:p>
        </w:tc>
      </w:tr>
      <w:tr w:rsidR="00C22284">
        <w:trPr>
          <w:trHeight w:val="420"/>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可持续影响指标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指标1：促进用人单位遵纪守法意识</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逐步提升</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满意度指标</w:t>
            </w:r>
          </w:p>
        </w:tc>
        <w:tc>
          <w:tcPr>
            <w:tcW w:w="759" w:type="dxa"/>
            <w:gridSpan w:val="2"/>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满意度指标</w:t>
            </w:r>
          </w:p>
        </w:tc>
        <w:tc>
          <w:tcPr>
            <w:tcW w:w="2872" w:type="dxa"/>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指标1：劳动者及用人单位对劳动争议案件处理表示满意程度</w:t>
            </w:r>
          </w:p>
        </w:tc>
        <w:tc>
          <w:tcPr>
            <w:tcW w:w="4228" w:type="dxa"/>
            <w:gridSpan w:val="2"/>
            <w:tcBorders>
              <w:tl2br w:val="nil"/>
              <w:tr2bl w:val="nil"/>
            </w:tcBorders>
            <w:vAlign w:val="center"/>
          </w:tcPr>
          <w:p w:rsidR="00C22284" w:rsidRDefault="00705CC2">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rPr>
              <w:t>≥</w:t>
            </w:r>
            <w:r>
              <w:rPr>
                <w:rFonts w:ascii="Times New Roman" w:eastAsia="宋体" w:hAnsi="Times New Roman" w:cs="Times New Roman"/>
                <w:color w:val="000000"/>
                <w:kern w:val="0"/>
                <w:sz w:val="20"/>
                <w:szCs w:val="20"/>
              </w:rPr>
              <w:t>98</w:t>
            </w:r>
            <w:r>
              <w:rPr>
                <w:rFonts w:ascii="宋体" w:eastAsia="宋体" w:hAnsi="宋体" w:cs="宋体" w:hint="eastAsia"/>
                <w:color w:val="000000"/>
                <w:kern w:val="0"/>
                <w:sz w:val="20"/>
                <w:szCs w:val="20"/>
              </w:rPr>
              <w:t>百分比</w:t>
            </w:r>
          </w:p>
        </w:tc>
      </w:tr>
    </w:tbl>
    <w:p w:rsidR="00C22284" w:rsidRDefault="00C22284"/>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2</w:t>
      </w:r>
      <w:r>
        <w:rPr>
          <w:rFonts w:ascii="TimesNewRoman" w:eastAsia="仿宋_GB2312" w:hAnsi="TimesNewRoman" w:cs="TimesNewRoman" w:hint="eastAsia"/>
          <w:kern w:val="0"/>
          <w:sz w:val="32"/>
          <w:szCs w:val="32"/>
        </w:rPr>
        <w:t>、“农民工工资清欠经费”项目。</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项目概述。农民工工资清欠工作经费已经列入省考核市政府指标，经费主要用于：开展农民工工资专项检查，中秋、元旦、春节期间集中清欠，常态化农民工工资清欠办公场地租赁，处理应急上访事件，组织农民工工资清欠会议，对全市农民工工资清欠工作进行调度、检查，全市农民工工资投诉平台建设等，在实际工作中需产生一些费用。</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w:t>
      </w:r>
      <w:r>
        <w:rPr>
          <w:rFonts w:ascii="TimesNewRoman" w:eastAsia="仿宋_GB2312" w:hAnsi="TimesNewRoman" w:cs="TimesNewRoman" w:hint="eastAsia"/>
          <w:kern w:val="0"/>
          <w:sz w:val="32"/>
          <w:szCs w:val="32"/>
        </w:rPr>
        <w:t>）立项依据。</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1 \* GB3 \* MERGEFORMAT </w:instrText>
      </w:r>
      <w:r w:rsidR="00EB0E71">
        <w:rPr>
          <w:rFonts w:ascii="TimesNewRoman" w:eastAsia="仿宋_GB2312" w:hAnsi="TimesNewRoman" w:cs="TimesNewRoman" w:hint="eastAsia"/>
          <w:kern w:val="0"/>
          <w:sz w:val="32"/>
          <w:szCs w:val="32"/>
        </w:rPr>
        <w:fldChar w:fldCharType="separate"/>
      </w:r>
      <w:r>
        <w:t>①</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淮北市人民政府《关于进一步做好为农民工服务工作的实施意见》（</w:t>
      </w:r>
      <w:proofErr w:type="gramStart"/>
      <w:r>
        <w:rPr>
          <w:rFonts w:ascii="TimesNewRoman" w:eastAsia="仿宋_GB2312" w:hAnsi="TimesNewRoman" w:cs="TimesNewRoman" w:hint="eastAsia"/>
          <w:kern w:val="0"/>
          <w:sz w:val="32"/>
          <w:szCs w:val="32"/>
        </w:rPr>
        <w:t>淮政〔</w:t>
      </w:r>
      <w:r>
        <w:rPr>
          <w:rFonts w:ascii="TimesNewRoman" w:eastAsia="仿宋_GB2312" w:hAnsi="TimesNewRoman" w:cs="TimesNewRoman" w:hint="eastAsia"/>
          <w:kern w:val="0"/>
          <w:sz w:val="32"/>
          <w:szCs w:val="32"/>
        </w:rPr>
        <w:t>2015</w:t>
      </w:r>
      <w:r>
        <w:rPr>
          <w:rFonts w:ascii="TimesNewRoman" w:eastAsia="仿宋_GB2312" w:hAnsi="TimesNewRoman" w:cs="TimesNewRoman" w:hint="eastAsia"/>
          <w:kern w:val="0"/>
          <w:sz w:val="32"/>
          <w:szCs w:val="32"/>
        </w:rPr>
        <w:t>〕</w:t>
      </w:r>
      <w:proofErr w:type="gramEnd"/>
      <w:r>
        <w:rPr>
          <w:rFonts w:ascii="TimesNewRoman" w:eastAsia="仿宋_GB2312" w:hAnsi="TimesNewRoman" w:cs="TimesNewRoman" w:hint="eastAsia"/>
          <w:kern w:val="0"/>
          <w:sz w:val="32"/>
          <w:szCs w:val="32"/>
        </w:rPr>
        <w:t>35</w:t>
      </w:r>
      <w:r>
        <w:rPr>
          <w:rFonts w:ascii="TimesNewRoman" w:eastAsia="仿宋_GB2312" w:hAnsi="TimesNewRoman" w:cs="TimesNewRoman" w:hint="eastAsia"/>
          <w:kern w:val="0"/>
          <w:sz w:val="32"/>
          <w:szCs w:val="32"/>
        </w:rPr>
        <w:t>号）第（十八）“要保障农民工工资集中清欠工作的经费”。</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2 \* GB3 \* MERGEFORMAT </w:instrText>
      </w:r>
      <w:r w:rsidR="00EB0E71">
        <w:rPr>
          <w:rFonts w:ascii="TimesNewRoman" w:eastAsia="仿宋_GB2312" w:hAnsi="TimesNewRoman" w:cs="TimesNewRoman" w:hint="eastAsia"/>
          <w:kern w:val="0"/>
          <w:sz w:val="32"/>
          <w:szCs w:val="32"/>
        </w:rPr>
        <w:fldChar w:fldCharType="separate"/>
      </w:r>
      <w:r>
        <w:t>②</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《淮北市人民政府办公室关于印发预防和解决建筑领域拖欠农民工工资办法的通知》（</w:t>
      </w:r>
      <w:proofErr w:type="gramStart"/>
      <w:r>
        <w:rPr>
          <w:rFonts w:ascii="TimesNewRoman" w:eastAsia="仿宋_GB2312" w:hAnsi="TimesNewRoman" w:cs="TimesNewRoman" w:hint="eastAsia"/>
          <w:kern w:val="0"/>
          <w:sz w:val="32"/>
          <w:szCs w:val="32"/>
        </w:rPr>
        <w:t>淮政办</w:t>
      </w:r>
      <w:proofErr w:type="gramEnd"/>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2014</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15</w:t>
      </w:r>
      <w:r>
        <w:rPr>
          <w:rFonts w:ascii="TimesNewRoman" w:eastAsia="仿宋_GB2312" w:hAnsi="TimesNewRoman" w:cs="TimesNewRoman" w:hint="eastAsia"/>
          <w:kern w:val="0"/>
          <w:sz w:val="32"/>
          <w:szCs w:val="32"/>
        </w:rPr>
        <w:t>号）第九条：“财政部门分级负责落实欠薪应急资金，保证农民工工资清欠专项经费”。</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3 \* GB3 \* MERGEFORMAT </w:instrText>
      </w:r>
      <w:r w:rsidR="00EB0E71">
        <w:rPr>
          <w:rFonts w:ascii="TimesNewRoman" w:eastAsia="仿宋_GB2312" w:hAnsi="TimesNewRoman" w:cs="TimesNewRoman" w:hint="eastAsia"/>
          <w:kern w:val="0"/>
          <w:sz w:val="32"/>
          <w:szCs w:val="32"/>
        </w:rPr>
        <w:fldChar w:fldCharType="separate"/>
      </w:r>
      <w:r>
        <w:t>③</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安徽省人民政府办公室《关于印发保障农民工工资支付工作考核办法的通知》（皖</w:t>
      </w:r>
      <w:proofErr w:type="gramStart"/>
      <w:r>
        <w:rPr>
          <w:rFonts w:ascii="TimesNewRoman" w:eastAsia="仿宋_GB2312" w:hAnsi="TimesNewRoman" w:cs="TimesNewRoman" w:hint="eastAsia"/>
          <w:kern w:val="0"/>
          <w:sz w:val="32"/>
          <w:szCs w:val="32"/>
        </w:rPr>
        <w:t>政办秘〔</w:t>
      </w:r>
      <w:r>
        <w:rPr>
          <w:rFonts w:ascii="TimesNewRoman" w:eastAsia="仿宋_GB2312" w:hAnsi="TimesNewRoman" w:cs="TimesNewRoman" w:hint="eastAsia"/>
          <w:kern w:val="0"/>
          <w:sz w:val="32"/>
          <w:szCs w:val="32"/>
        </w:rPr>
        <w:t>2023</w:t>
      </w:r>
      <w:r>
        <w:rPr>
          <w:rFonts w:ascii="TimesNewRoman" w:eastAsia="仿宋_GB2312" w:hAnsi="TimesNewRoman" w:cs="TimesNewRoman" w:hint="eastAsia"/>
          <w:kern w:val="0"/>
          <w:sz w:val="32"/>
          <w:szCs w:val="32"/>
        </w:rPr>
        <w:t>〕</w:t>
      </w:r>
      <w:proofErr w:type="gramEnd"/>
      <w:r>
        <w:rPr>
          <w:rFonts w:ascii="TimesNewRoman" w:eastAsia="仿宋_GB2312" w:hAnsi="TimesNewRoman" w:cs="TimesNewRoman" w:hint="eastAsia"/>
          <w:kern w:val="0"/>
          <w:sz w:val="32"/>
          <w:szCs w:val="32"/>
        </w:rPr>
        <w:t>8</w:t>
      </w:r>
      <w:r>
        <w:rPr>
          <w:rFonts w:ascii="TimesNewRoman" w:eastAsia="仿宋_GB2312" w:hAnsi="TimesNewRoman" w:cs="TimesNewRoman" w:hint="eastAsia"/>
          <w:kern w:val="0"/>
          <w:sz w:val="32"/>
          <w:szCs w:val="32"/>
        </w:rPr>
        <w:t>号）第三条“考核工作从</w:t>
      </w:r>
      <w:r>
        <w:rPr>
          <w:rFonts w:ascii="TimesNewRoman" w:eastAsia="仿宋_GB2312" w:hAnsi="TimesNewRoman" w:cs="TimesNewRoman" w:hint="eastAsia"/>
          <w:kern w:val="0"/>
          <w:sz w:val="32"/>
          <w:szCs w:val="32"/>
        </w:rPr>
        <w:t>2023</w:t>
      </w:r>
      <w:r>
        <w:rPr>
          <w:rFonts w:ascii="TimesNewRoman" w:eastAsia="仿宋_GB2312" w:hAnsi="TimesNewRoman" w:cs="TimesNewRoman" w:hint="eastAsia"/>
          <w:kern w:val="0"/>
          <w:sz w:val="32"/>
          <w:szCs w:val="32"/>
        </w:rPr>
        <w:t>年到</w:t>
      </w:r>
      <w:r>
        <w:rPr>
          <w:rFonts w:ascii="TimesNewRoman" w:eastAsia="仿宋_GB2312" w:hAnsi="TimesNewRoman" w:cs="TimesNewRoman" w:hint="eastAsia"/>
          <w:kern w:val="0"/>
          <w:sz w:val="32"/>
          <w:szCs w:val="32"/>
        </w:rPr>
        <w:t>2027</w:t>
      </w:r>
      <w:r>
        <w:rPr>
          <w:rFonts w:ascii="TimesNewRoman" w:eastAsia="仿宋_GB2312" w:hAnsi="TimesNewRoman" w:cs="TimesNewRoman" w:hint="eastAsia"/>
          <w:kern w:val="0"/>
          <w:sz w:val="32"/>
          <w:szCs w:val="32"/>
        </w:rPr>
        <w:t>年，每年开展</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次，并纳入省政府目标管理绩效考核。”</w:t>
      </w:r>
      <w:r w:rsidR="00EB0E71">
        <w:rPr>
          <w:rFonts w:ascii="TimesNewRoman" w:eastAsia="仿宋_GB2312" w:hAnsi="TimesNewRoman" w:cs="TimesNewRoman" w:hint="eastAsia"/>
          <w:kern w:val="0"/>
          <w:sz w:val="32"/>
          <w:szCs w:val="32"/>
        </w:rPr>
        <w:fldChar w:fldCharType="begin"/>
      </w:r>
      <w:r>
        <w:rPr>
          <w:rFonts w:ascii="TimesNewRoman" w:eastAsia="仿宋_GB2312" w:hAnsi="TimesNewRoman" w:cs="TimesNewRoman" w:hint="eastAsia"/>
          <w:kern w:val="0"/>
          <w:sz w:val="32"/>
          <w:szCs w:val="32"/>
        </w:rPr>
        <w:instrText xml:space="preserve"> = 4 \* GB3 \* MERGEFORMAT </w:instrText>
      </w:r>
      <w:r w:rsidR="00EB0E71">
        <w:rPr>
          <w:rFonts w:ascii="TimesNewRoman" w:eastAsia="仿宋_GB2312" w:hAnsi="TimesNewRoman" w:cs="TimesNewRoman" w:hint="eastAsia"/>
          <w:kern w:val="0"/>
          <w:sz w:val="32"/>
          <w:szCs w:val="32"/>
        </w:rPr>
        <w:fldChar w:fldCharType="separate"/>
      </w:r>
      <w:r>
        <w:t>④</w:t>
      </w:r>
      <w:r w:rsidR="00EB0E71">
        <w:rPr>
          <w:rFonts w:ascii="TimesNewRoman" w:eastAsia="仿宋_GB2312" w:hAnsi="TimesNewRoman" w:cs="TimesNewRoman" w:hint="eastAsia"/>
          <w:kern w:val="0"/>
          <w:sz w:val="32"/>
          <w:szCs w:val="32"/>
        </w:rPr>
        <w:fldChar w:fldCharType="end"/>
      </w:r>
      <w:r>
        <w:rPr>
          <w:rFonts w:ascii="TimesNewRoman" w:eastAsia="仿宋_GB2312" w:hAnsi="TimesNewRoman" w:cs="TimesNewRoman" w:hint="eastAsia"/>
          <w:kern w:val="0"/>
          <w:sz w:val="32"/>
          <w:szCs w:val="32"/>
        </w:rPr>
        <w:t>安徽省根治拖欠农民工工资工作领导小组办公室《关于印发</w:t>
      </w:r>
      <w:r>
        <w:rPr>
          <w:rFonts w:ascii="TimesNewRoman" w:eastAsia="仿宋_GB2312" w:hAnsi="TimesNewRoman" w:cs="TimesNewRoman" w:hint="eastAsia"/>
          <w:kern w:val="0"/>
          <w:sz w:val="32"/>
          <w:szCs w:val="32"/>
        </w:rPr>
        <w:t>&lt;2022</w:t>
      </w:r>
      <w:r>
        <w:rPr>
          <w:rFonts w:ascii="TimesNewRoman" w:eastAsia="仿宋_GB2312" w:hAnsi="TimesNewRoman" w:cs="TimesNewRoman" w:hint="eastAsia"/>
          <w:kern w:val="0"/>
          <w:sz w:val="32"/>
          <w:szCs w:val="32"/>
        </w:rPr>
        <w:t>年度安徽省保障农民工工资支付工作考核细则</w:t>
      </w:r>
      <w:r>
        <w:rPr>
          <w:rFonts w:ascii="TimesNewRoman" w:eastAsia="仿宋_GB2312" w:hAnsi="TimesNewRoman" w:cs="TimesNewRoman" w:hint="eastAsia"/>
          <w:kern w:val="0"/>
          <w:sz w:val="32"/>
          <w:szCs w:val="32"/>
        </w:rPr>
        <w:t>&gt;</w:t>
      </w:r>
      <w:r>
        <w:rPr>
          <w:rFonts w:ascii="TimesNewRoman" w:eastAsia="仿宋_GB2312" w:hAnsi="TimesNewRoman" w:cs="TimesNewRoman" w:hint="eastAsia"/>
          <w:kern w:val="0"/>
          <w:sz w:val="32"/>
          <w:szCs w:val="32"/>
        </w:rPr>
        <w:t>的通知》（</w:t>
      </w:r>
      <w:proofErr w:type="gramStart"/>
      <w:r>
        <w:rPr>
          <w:rFonts w:ascii="TimesNewRoman" w:eastAsia="仿宋_GB2312" w:hAnsi="TimesNewRoman" w:cs="TimesNewRoman" w:hint="eastAsia"/>
          <w:kern w:val="0"/>
          <w:sz w:val="32"/>
          <w:szCs w:val="32"/>
        </w:rPr>
        <w:t>皖治欠办</w:t>
      </w:r>
      <w:proofErr w:type="gramEnd"/>
      <w:r>
        <w:rPr>
          <w:rFonts w:ascii="TimesNewRoman" w:eastAsia="仿宋_GB2312" w:hAnsi="TimesNewRoman" w:cs="TimesNewRoman" w:hint="eastAsia"/>
          <w:kern w:val="0"/>
          <w:sz w:val="32"/>
          <w:szCs w:val="32"/>
        </w:rPr>
        <w:t>发〔</w:t>
      </w:r>
      <w:r>
        <w:rPr>
          <w:rFonts w:ascii="TimesNewRoman" w:eastAsia="仿宋_GB2312" w:hAnsi="TimesNewRoman" w:cs="TimesNewRoman" w:hint="eastAsia"/>
          <w:kern w:val="0"/>
          <w:sz w:val="32"/>
          <w:szCs w:val="32"/>
        </w:rPr>
        <w:t>2023</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6</w:t>
      </w:r>
      <w:r>
        <w:rPr>
          <w:rFonts w:ascii="TimesNewRoman" w:eastAsia="仿宋_GB2312" w:hAnsi="TimesNewRoman" w:cs="TimesNewRoman" w:hint="eastAsia"/>
          <w:kern w:val="0"/>
          <w:sz w:val="32"/>
          <w:szCs w:val="32"/>
        </w:rPr>
        <w:t>号），第</w:t>
      </w:r>
      <w:r>
        <w:rPr>
          <w:rFonts w:ascii="TimesNewRoman" w:eastAsia="仿宋_GB2312" w:hAnsi="TimesNewRoman" w:cs="TimesNewRoman" w:hint="eastAsia"/>
          <w:kern w:val="0"/>
          <w:sz w:val="32"/>
          <w:szCs w:val="32"/>
        </w:rPr>
        <w:t>21</w:t>
      </w:r>
      <w:r>
        <w:rPr>
          <w:rFonts w:ascii="TimesNewRoman" w:eastAsia="仿宋_GB2312" w:hAnsi="TimesNewRoman" w:cs="TimesNewRoman" w:hint="eastAsia"/>
          <w:kern w:val="0"/>
          <w:sz w:val="32"/>
          <w:szCs w:val="32"/>
        </w:rPr>
        <w:t>条：“建立省级集中的工资支付监控预警平台</w:t>
      </w: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并与国家平台实现信息互联共享（</w:t>
      </w:r>
      <w:r>
        <w:rPr>
          <w:rFonts w:ascii="TimesNewRoman" w:eastAsia="仿宋_GB2312" w:hAnsi="TimesNewRoman" w:cs="TimesNewRoman" w:hint="eastAsia"/>
          <w:kern w:val="0"/>
          <w:sz w:val="32"/>
          <w:szCs w:val="32"/>
        </w:rPr>
        <w:t>9</w:t>
      </w:r>
      <w:r>
        <w:rPr>
          <w:rFonts w:ascii="TimesNewRoman" w:eastAsia="仿宋_GB2312" w:hAnsi="TimesNewRoman" w:cs="TimesNewRoman" w:hint="eastAsia"/>
          <w:kern w:val="0"/>
          <w:sz w:val="32"/>
          <w:szCs w:val="32"/>
        </w:rPr>
        <w:t>分），未按要求，开发或升级市级农民工工资支付监管平台的，扣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分；市级平台未能</w:t>
      </w:r>
      <w:r>
        <w:rPr>
          <w:rFonts w:ascii="TimesNewRoman" w:eastAsia="仿宋_GB2312" w:hAnsi="TimesNewRoman" w:cs="TimesNewRoman" w:hint="eastAsia"/>
          <w:kern w:val="0"/>
          <w:sz w:val="32"/>
          <w:szCs w:val="32"/>
        </w:rPr>
        <w:lastRenderedPageBreak/>
        <w:t>实现全市数据集中的，扣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分；未建立市级指挥中心的，扣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分；市级指挥中心未能与省指挥中心互联互通的，扣</w:t>
      </w:r>
      <w:r>
        <w:rPr>
          <w:rFonts w:ascii="TimesNewRoman" w:eastAsia="仿宋_GB2312" w:hAnsi="TimesNewRoman" w:cs="TimesNewRoman" w:hint="eastAsia"/>
          <w:kern w:val="0"/>
          <w:sz w:val="32"/>
          <w:szCs w:val="32"/>
        </w:rPr>
        <w:t>1</w:t>
      </w:r>
      <w:r>
        <w:rPr>
          <w:rFonts w:ascii="TimesNewRoman" w:eastAsia="仿宋_GB2312" w:hAnsi="TimesNewRoman" w:cs="TimesNewRoman" w:hint="eastAsia"/>
          <w:kern w:val="0"/>
          <w:sz w:val="32"/>
          <w:szCs w:val="32"/>
        </w:rPr>
        <w:t>分；”</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3</w:t>
      </w:r>
      <w:r>
        <w:rPr>
          <w:rFonts w:ascii="TimesNewRoman" w:eastAsia="仿宋_GB2312" w:hAnsi="TimesNewRoman" w:cs="TimesNewRoman" w:hint="eastAsia"/>
          <w:kern w:val="0"/>
          <w:sz w:val="32"/>
          <w:szCs w:val="32"/>
        </w:rPr>
        <w:t>）实施主体。淮北市劳动人事争议仲裁院。</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4</w:t>
      </w:r>
      <w:r>
        <w:rPr>
          <w:rFonts w:ascii="TimesNewRoman" w:eastAsia="仿宋_GB2312" w:hAnsi="TimesNewRoman" w:cs="TimesNewRoman" w:hint="eastAsia"/>
          <w:kern w:val="0"/>
          <w:sz w:val="32"/>
          <w:szCs w:val="32"/>
        </w:rPr>
        <w:t>）起止时间。</w:t>
      </w:r>
      <w:r>
        <w:rPr>
          <w:rFonts w:ascii="Times New Roman" w:eastAsia="仿宋_GB2312" w:hAnsi="Times New Roman" w:cs="Times New Roman"/>
          <w:kern w:val="0"/>
          <w:sz w:val="32"/>
          <w:szCs w:val="32"/>
        </w:rPr>
        <w:t>202</w:t>
      </w:r>
      <w:r>
        <w:rPr>
          <w:rFonts w:ascii="Times New Roman" w:eastAsia="仿宋_GB2312" w:hAnsi="Times New Roman" w:cs="Times New Roman" w:hint="eastAsia"/>
          <w:kern w:val="0"/>
          <w:sz w:val="32"/>
          <w:szCs w:val="32"/>
        </w:rPr>
        <w:t>5</w:t>
      </w:r>
      <w:r>
        <w:rPr>
          <w:rFonts w:ascii="TimesNewRoman" w:eastAsia="仿宋_GB2312" w:hAnsi="TimesNewRoman" w:cs="TimesNewRoman" w:hint="eastAsia"/>
          <w:kern w:val="0"/>
          <w:sz w:val="32"/>
          <w:szCs w:val="32"/>
        </w:rPr>
        <w:t>年</w:t>
      </w:r>
      <w:r>
        <w:rPr>
          <w:rFonts w:ascii="Times New Roman" w:eastAsia="仿宋_GB2312" w:hAnsi="Times New Roman" w:cs="Times New Roman"/>
          <w:kern w:val="0"/>
          <w:sz w:val="32"/>
          <w:szCs w:val="32"/>
        </w:rPr>
        <w:t>1</w:t>
      </w:r>
      <w:r>
        <w:rPr>
          <w:rFonts w:ascii="TimesNewRoman" w:eastAsia="仿宋_GB2312" w:hAnsi="TimesNewRoman" w:cs="TimesNewRoman" w:hint="eastAsia"/>
          <w:kern w:val="0"/>
          <w:sz w:val="32"/>
          <w:szCs w:val="32"/>
        </w:rPr>
        <w:t>月</w:t>
      </w:r>
      <w:r>
        <w:rPr>
          <w:rFonts w:ascii="TimesNewRoman" w:eastAsia="仿宋_GB2312" w:hAnsi="TimesNewRoman" w:cs="TimesNewRoman" w:hint="eastAsia"/>
          <w:kern w:val="0"/>
          <w:sz w:val="32"/>
          <w:szCs w:val="32"/>
        </w:rPr>
        <w:t>-</w:t>
      </w:r>
      <w:r>
        <w:rPr>
          <w:rFonts w:ascii="Times New Roman" w:eastAsia="仿宋_GB2312" w:hAnsi="Times New Roman" w:cs="Times New Roman"/>
          <w:kern w:val="0"/>
          <w:sz w:val="32"/>
          <w:szCs w:val="32"/>
        </w:rPr>
        <w:t>202</w:t>
      </w:r>
      <w:r>
        <w:rPr>
          <w:rFonts w:ascii="Times New Roman" w:eastAsia="仿宋_GB2312" w:hAnsi="Times New Roman" w:cs="Times New Roman" w:hint="eastAsia"/>
          <w:kern w:val="0"/>
          <w:sz w:val="32"/>
          <w:szCs w:val="32"/>
        </w:rPr>
        <w:t>5</w:t>
      </w:r>
      <w:r>
        <w:rPr>
          <w:rFonts w:ascii="TimesNewRoman" w:eastAsia="仿宋_GB2312" w:hAnsi="TimesNewRoman" w:cs="TimesNewRoman" w:hint="eastAsia"/>
          <w:kern w:val="0"/>
          <w:sz w:val="32"/>
          <w:szCs w:val="32"/>
        </w:rPr>
        <w:t>年</w:t>
      </w:r>
      <w:r>
        <w:rPr>
          <w:rFonts w:ascii="Times New Roman" w:eastAsia="仿宋_GB2312" w:hAnsi="Times New Roman" w:cs="Times New Roman"/>
          <w:kern w:val="0"/>
          <w:sz w:val="32"/>
          <w:szCs w:val="32"/>
        </w:rPr>
        <w:t>12</w:t>
      </w:r>
      <w:r>
        <w:rPr>
          <w:rFonts w:ascii="TimesNewRoman" w:eastAsia="仿宋_GB2312" w:hAnsi="TimesNewRoman" w:cs="TimesNewRoman" w:hint="eastAsia"/>
          <w:kern w:val="0"/>
          <w:sz w:val="32"/>
          <w:szCs w:val="32"/>
        </w:rPr>
        <w:t>月。</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5</w:t>
      </w:r>
      <w:r>
        <w:rPr>
          <w:rFonts w:ascii="TimesNewRoman" w:eastAsia="仿宋_GB2312" w:hAnsi="TimesNewRoman" w:cs="TimesNewRoman" w:hint="eastAsia"/>
          <w:kern w:val="0"/>
          <w:sz w:val="32"/>
          <w:szCs w:val="32"/>
        </w:rPr>
        <w:t>）项目内容。开展农民工工资专项检查，中秋、元旦、春节期间集中清欠，常态化农民工工资清欠办公场地租赁，处理应急上访事件，组织农民工工资清欠会议，对全市农民工工资清欠工作进行调度、检查，全市农民工工资投诉平台建设等，在实际工作中需产生一些费用。</w:t>
      </w:r>
    </w:p>
    <w:p w:rsidR="00C22284" w:rsidRDefault="00705CC2">
      <w:pPr>
        <w:ind w:firstLineChars="200" w:firstLine="640"/>
        <w:rPr>
          <w:rFonts w:ascii="仿宋_GB2312" w:eastAsia="仿宋_GB2312" w:hAnsi="仿宋"/>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6</w:t>
      </w:r>
      <w:r>
        <w:rPr>
          <w:rFonts w:ascii="TimesNewRoman" w:eastAsia="仿宋_GB2312" w:hAnsi="TimesNewRoman" w:cs="TimesNewRoman" w:hint="eastAsia"/>
          <w:kern w:val="0"/>
          <w:sz w:val="32"/>
          <w:szCs w:val="32"/>
        </w:rPr>
        <w:t>）年度预算安排。</w:t>
      </w:r>
      <w:r>
        <w:rPr>
          <w:rFonts w:ascii="Times New Roman" w:eastAsia="仿宋_GB2312" w:hAnsi="Times New Roman" w:cs="Times New Roman"/>
          <w:sz w:val="32"/>
          <w:szCs w:val="32"/>
        </w:rPr>
        <w:t>202</w:t>
      </w:r>
      <w:r>
        <w:rPr>
          <w:rFonts w:ascii="Times New Roman" w:eastAsia="仿宋_GB2312" w:hAnsi="Times New Roman" w:cs="Times New Roman" w:hint="eastAsia"/>
          <w:sz w:val="32"/>
          <w:szCs w:val="32"/>
        </w:rPr>
        <w:t>5</w:t>
      </w:r>
      <w:r>
        <w:rPr>
          <w:rFonts w:ascii="仿宋_GB2312" w:eastAsia="仿宋_GB2312" w:hAnsi="楷体" w:hint="eastAsia"/>
          <w:sz w:val="32"/>
          <w:szCs w:val="32"/>
        </w:rPr>
        <w:t>年度预算安排</w:t>
      </w:r>
      <w:r>
        <w:rPr>
          <w:rFonts w:ascii="Times New Roman" w:eastAsia="仿宋_GB2312" w:hAnsi="Times New Roman" w:cs="Times New Roman" w:hint="eastAsia"/>
          <w:sz w:val="32"/>
          <w:szCs w:val="32"/>
        </w:rPr>
        <w:t>25</w:t>
      </w:r>
      <w:r>
        <w:rPr>
          <w:rFonts w:ascii="仿宋_GB2312" w:eastAsia="仿宋_GB2312" w:hAnsi="仿宋" w:hint="eastAsia"/>
          <w:sz w:val="32"/>
          <w:szCs w:val="32"/>
        </w:rPr>
        <w:t>万元。</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w:t>
      </w:r>
      <w:r>
        <w:rPr>
          <w:rFonts w:ascii="TimesNewRoman" w:eastAsia="仿宋_GB2312" w:hAnsi="TimesNewRoman" w:cs="TimesNewRoman" w:hint="eastAsia"/>
          <w:kern w:val="0"/>
          <w:sz w:val="32"/>
          <w:szCs w:val="32"/>
        </w:rPr>
        <w:t>7</w:t>
      </w:r>
      <w:r>
        <w:rPr>
          <w:rFonts w:ascii="TimesNewRoman" w:eastAsia="仿宋_GB2312" w:hAnsi="TimesNewRoman" w:cs="TimesNewRoman" w:hint="eastAsia"/>
          <w:kern w:val="0"/>
          <w:sz w:val="32"/>
          <w:szCs w:val="32"/>
        </w:rPr>
        <w:t>）绩效目标。</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38"/>
        <w:gridCol w:w="723"/>
        <w:gridCol w:w="282"/>
        <w:gridCol w:w="477"/>
        <w:gridCol w:w="2872"/>
        <w:gridCol w:w="1848"/>
        <w:gridCol w:w="2380"/>
      </w:tblGrid>
      <w:tr w:rsidR="00C22284">
        <w:trPr>
          <w:trHeight w:val="253"/>
        </w:trPr>
        <w:tc>
          <w:tcPr>
            <w:tcW w:w="9020" w:type="dxa"/>
            <w:gridSpan w:val="7"/>
            <w:tcBorders>
              <w:top w:val="nil"/>
              <w:left w:val="nil"/>
              <w:bottom w:val="nil"/>
              <w:right w:val="nil"/>
            </w:tcBorders>
            <w:vAlign w:val="center"/>
          </w:tcPr>
          <w:p w:rsidR="00C22284" w:rsidRDefault="00705CC2">
            <w:pPr>
              <w:widowControl/>
              <w:jc w:val="center"/>
              <w:textAlignment w:val="center"/>
              <w:rPr>
                <w:rFonts w:ascii="宋体" w:cs="宋体"/>
                <w:b/>
                <w:bCs/>
                <w:szCs w:val="32"/>
              </w:rPr>
            </w:pPr>
            <w:r>
              <w:rPr>
                <w:rFonts w:ascii="宋体" w:eastAsia="宋体" w:hAnsi="宋体" w:cs="宋体" w:hint="eastAsia"/>
                <w:b/>
                <w:color w:val="000000"/>
                <w:kern w:val="0"/>
                <w:sz w:val="28"/>
                <w:szCs w:val="28"/>
              </w:rPr>
              <w:t>项目支出绩效目标表</w:t>
            </w:r>
          </w:p>
        </w:tc>
      </w:tr>
      <w:tr w:rsidR="00C22284">
        <w:trPr>
          <w:trHeight w:val="270"/>
        </w:trPr>
        <w:tc>
          <w:tcPr>
            <w:tcW w:w="9020" w:type="dxa"/>
            <w:gridSpan w:val="7"/>
            <w:tcBorders>
              <w:top w:val="nil"/>
              <w:left w:val="nil"/>
              <w:right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 xml:space="preserve"> （2025年度）                                </w:t>
            </w:r>
          </w:p>
        </w:tc>
      </w:tr>
      <w:tr w:rsidR="00C22284">
        <w:trPr>
          <w:trHeight w:val="330"/>
        </w:trPr>
        <w:tc>
          <w:tcPr>
            <w:tcW w:w="1443" w:type="dxa"/>
            <w:gridSpan w:val="3"/>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项目名称</w:t>
            </w:r>
          </w:p>
        </w:tc>
        <w:tc>
          <w:tcPr>
            <w:tcW w:w="7577" w:type="dxa"/>
            <w:gridSpan w:val="4"/>
            <w:tcBorders>
              <w:tl2br w:val="nil"/>
              <w:tr2bl w:val="nil"/>
            </w:tcBorders>
            <w:vAlign w:val="center"/>
          </w:tcPr>
          <w:p w:rsidR="00C22284" w:rsidRDefault="00705CC2">
            <w:pPr>
              <w:jc w:val="center"/>
              <w:rPr>
                <w:rFonts w:ascii="宋体" w:cs="宋体"/>
                <w:sz w:val="20"/>
              </w:rPr>
            </w:pPr>
            <w:r>
              <w:rPr>
                <w:rFonts w:ascii="宋体" w:cs="宋体" w:hint="eastAsia"/>
                <w:sz w:val="20"/>
              </w:rPr>
              <w:t>农民工工资清欠经费</w:t>
            </w:r>
          </w:p>
        </w:tc>
      </w:tr>
      <w:tr w:rsidR="00C22284">
        <w:trPr>
          <w:trHeight w:val="491"/>
        </w:trPr>
        <w:tc>
          <w:tcPr>
            <w:tcW w:w="1443" w:type="dxa"/>
            <w:gridSpan w:val="3"/>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主管部门   及代码</w:t>
            </w:r>
          </w:p>
        </w:tc>
        <w:tc>
          <w:tcPr>
            <w:tcW w:w="3349" w:type="dxa"/>
            <w:gridSpan w:val="2"/>
            <w:tcBorders>
              <w:tl2br w:val="nil"/>
              <w:tr2bl w:val="nil"/>
            </w:tcBorders>
            <w:vAlign w:val="center"/>
          </w:tcPr>
          <w:p w:rsidR="00C22284" w:rsidRDefault="00705CC2">
            <w:pPr>
              <w:jc w:val="center"/>
              <w:rPr>
                <w:rFonts w:ascii="宋体" w:cs="宋体"/>
                <w:sz w:val="20"/>
              </w:rPr>
            </w:pPr>
            <w:r>
              <w:rPr>
                <w:rFonts w:ascii="Times New Roman" w:hAnsi="Times New Roman" w:cs="Times New Roman"/>
                <w:sz w:val="20"/>
              </w:rPr>
              <w:t>104</w:t>
            </w:r>
            <w:r>
              <w:rPr>
                <w:rFonts w:ascii="宋体" w:cs="宋体" w:hint="eastAsia"/>
                <w:sz w:val="20"/>
              </w:rPr>
              <w:t>-淮北市人力资源和社会保障局</w:t>
            </w:r>
          </w:p>
        </w:tc>
        <w:tc>
          <w:tcPr>
            <w:tcW w:w="1848" w:type="dxa"/>
            <w:tcBorders>
              <w:tl2br w:val="nil"/>
              <w:tr2bl w:val="nil"/>
            </w:tcBorders>
            <w:vAlign w:val="center"/>
          </w:tcPr>
          <w:p w:rsidR="00C22284" w:rsidRDefault="00705CC2">
            <w:pPr>
              <w:widowControl/>
              <w:jc w:val="center"/>
              <w:textAlignment w:val="center"/>
            </w:pPr>
            <w:r>
              <w:rPr>
                <w:rFonts w:ascii="宋体" w:eastAsia="宋体" w:hAnsi="宋体" w:cs="宋体" w:hint="eastAsia"/>
                <w:color w:val="000000"/>
                <w:kern w:val="0"/>
                <w:sz w:val="20"/>
                <w:szCs w:val="20"/>
              </w:rPr>
              <w:t>实施单位</w:t>
            </w:r>
          </w:p>
        </w:tc>
        <w:tc>
          <w:tcPr>
            <w:tcW w:w="2380" w:type="dxa"/>
            <w:tcBorders>
              <w:tl2br w:val="nil"/>
              <w:tr2bl w:val="nil"/>
            </w:tcBorders>
            <w:vAlign w:val="center"/>
          </w:tcPr>
          <w:p w:rsidR="00C22284" w:rsidRDefault="00705CC2">
            <w:pPr>
              <w:jc w:val="center"/>
            </w:pPr>
            <w:r>
              <w:rPr>
                <w:rFonts w:ascii="Times New Roman" w:hAnsi="Times New Roman" w:cs="Times New Roman" w:hint="eastAsia"/>
                <w:sz w:val="20"/>
              </w:rPr>
              <w:t>淮北市劳动人事争议仲裁院</w:t>
            </w:r>
          </w:p>
        </w:tc>
      </w:tr>
      <w:tr w:rsidR="00C22284">
        <w:trPr>
          <w:trHeight w:val="330"/>
        </w:trPr>
        <w:tc>
          <w:tcPr>
            <w:tcW w:w="1443" w:type="dxa"/>
            <w:gridSpan w:val="3"/>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项目来源</w:t>
            </w:r>
          </w:p>
        </w:tc>
        <w:tc>
          <w:tcPr>
            <w:tcW w:w="3349" w:type="dxa"/>
            <w:gridSpan w:val="2"/>
            <w:tcBorders>
              <w:tl2br w:val="nil"/>
              <w:tr2bl w:val="nil"/>
            </w:tcBorders>
            <w:vAlign w:val="center"/>
          </w:tcPr>
          <w:p w:rsidR="00C22284" w:rsidRDefault="00705CC2">
            <w:pPr>
              <w:jc w:val="center"/>
              <w:rPr>
                <w:rFonts w:ascii="宋体" w:cs="宋体"/>
                <w:sz w:val="20"/>
              </w:rPr>
            </w:pPr>
            <w:r>
              <w:rPr>
                <w:rFonts w:ascii="Times New Roman" w:hAnsi="Times New Roman" w:cs="Times New Roman"/>
                <w:sz w:val="20"/>
              </w:rPr>
              <w:t>1</w:t>
            </w:r>
            <w:r>
              <w:rPr>
                <w:rFonts w:ascii="宋体" w:cs="宋体" w:hint="eastAsia"/>
                <w:sz w:val="20"/>
              </w:rPr>
              <w:t>-本级申报项目</w:t>
            </w:r>
          </w:p>
        </w:tc>
        <w:tc>
          <w:tcPr>
            <w:tcW w:w="1848" w:type="dxa"/>
            <w:tcBorders>
              <w:tl2br w:val="nil"/>
              <w:tr2bl w:val="nil"/>
            </w:tcBorders>
            <w:vAlign w:val="center"/>
          </w:tcPr>
          <w:p w:rsidR="00C22284" w:rsidRDefault="00705CC2">
            <w:pPr>
              <w:widowControl/>
              <w:jc w:val="center"/>
              <w:textAlignment w:val="center"/>
            </w:pPr>
            <w:r>
              <w:rPr>
                <w:rFonts w:ascii="宋体" w:eastAsia="宋体" w:hAnsi="宋体" w:cs="宋体" w:hint="eastAsia"/>
                <w:color w:val="000000"/>
                <w:kern w:val="0"/>
                <w:sz w:val="20"/>
                <w:szCs w:val="20"/>
              </w:rPr>
              <w:t>项目期</w:t>
            </w:r>
          </w:p>
        </w:tc>
        <w:tc>
          <w:tcPr>
            <w:tcW w:w="2380" w:type="dxa"/>
            <w:tcBorders>
              <w:tl2br w:val="nil"/>
              <w:tr2bl w:val="nil"/>
            </w:tcBorders>
            <w:vAlign w:val="center"/>
          </w:tcPr>
          <w:p w:rsidR="00C22284" w:rsidRDefault="00705CC2">
            <w:pPr>
              <w:jc w:val="center"/>
            </w:pPr>
            <w:r>
              <w:rPr>
                <w:rFonts w:ascii="Times New Roman" w:hAnsi="Times New Roman" w:cs="Times New Roman"/>
              </w:rPr>
              <w:t>202</w:t>
            </w:r>
            <w:r>
              <w:rPr>
                <w:rFonts w:ascii="Times New Roman" w:hAnsi="Times New Roman" w:cs="Times New Roman" w:hint="eastAsia"/>
              </w:rPr>
              <w:t>5</w:t>
            </w:r>
            <w:r>
              <w:rPr>
                <w:rFonts w:hint="eastAsia"/>
              </w:rPr>
              <w:t>.</w:t>
            </w:r>
            <w:r>
              <w:rPr>
                <w:rFonts w:ascii="Times New Roman" w:hAnsi="Times New Roman" w:cs="Times New Roman"/>
              </w:rPr>
              <w:t>1</w:t>
            </w:r>
            <w:r>
              <w:rPr>
                <w:rFonts w:hint="eastAsia"/>
              </w:rPr>
              <w:t>-</w:t>
            </w:r>
            <w:r>
              <w:rPr>
                <w:rFonts w:ascii="Times New Roman" w:hAnsi="Times New Roman" w:cs="Times New Roman"/>
              </w:rPr>
              <w:t>202</w:t>
            </w:r>
            <w:r>
              <w:rPr>
                <w:rFonts w:ascii="Times New Roman" w:hAnsi="Times New Roman" w:cs="Times New Roman" w:hint="eastAsia"/>
              </w:rPr>
              <w:t>5</w:t>
            </w:r>
            <w:r>
              <w:rPr>
                <w:rFonts w:hint="eastAsia"/>
              </w:rPr>
              <w:t>.</w:t>
            </w:r>
            <w:r>
              <w:rPr>
                <w:rFonts w:ascii="Times New Roman" w:hAnsi="Times New Roman" w:cs="Times New Roman"/>
              </w:rPr>
              <w:t>12</w:t>
            </w:r>
          </w:p>
        </w:tc>
      </w:tr>
      <w:tr w:rsidR="00C22284">
        <w:trPr>
          <w:trHeight w:val="330"/>
        </w:trPr>
        <w:tc>
          <w:tcPr>
            <w:tcW w:w="1443" w:type="dxa"/>
            <w:gridSpan w:val="3"/>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项目资金</w:t>
            </w:r>
            <w:r>
              <w:rPr>
                <w:rFonts w:ascii="宋体" w:eastAsia="宋体" w:hAnsi="宋体" w:cs="宋体" w:hint="eastAsia"/>
                <w:color w:val="000000"/>
                <w:kern w:val="0"/>
                <w:sz w:val="20"/>
                <w:szCs w:val="20"/>
              </w:rPr>
              <w:br/>
              <w:t>（万元）</w:t>
            </w: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年度资金总额：</w:t>
            </w:r>
          </w:p>
        </w:tc>
        <w:tc>
          <w:tcPr>
            <w:tcW w:w="4228" w:type="dxa"/>
            <w:gridSpan w:val="2"/>
            <w:tcBorders>
              <w:tl2br w:val="nil"/>
              <w:tr2bl w:val="nil"/>
            </w:tcBorders>
            <w:vAlign w:val="center"/>
          </w:tcPr>
          <w:p w:rsidR="00C22284" w:rsidRDefault="00705CC2">
            <w:pPr>
              <w:jc w:val="right"/>
              <w:rPr>
                <w:rFonts w:ascii="宋体" w:cs="宋体"/>
                <w:sz w:val="20"/>
              </w:rPr>
            </w:pPr>
            <w:r>
              <w:rPr>
                <w:rFonts w:ascii="宋体" w:cs="宋体" w:hint="eastAsia"/>
                <w:sz w:val="20"/>
              </w:rPr>
              <w:t>25</w:t>
            </w: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其中：财政拨款</w:t>
            </w:r>
          </w:p>
        </w:tc>
        <w:tc>
          <w:tcPr>
            <w:tcW w:w="4228" w:type="dxa"/>
            <w:gridSpan w:val="2"/>
            <w:tcBorders>
              <w:tl2br w:val="nil"/>
              <w:tr2bl w:val="nil"/>
            </w:tcBorders>
            <w:vAlign w:val="center"/>
          </w:tcPr>
          <w:p w:rsidR="00C22284" w:rsidRDefault="00705CC2">
            <w:pPr>
              <w:jc w:val="right"/>
              <w:rPr>
                <w:rFonts w:ascii="宋体" w:cs="宋体"/>
                <w:sz w:val="20"/>
              </w:rPr>
            </w:pPr>
            <w:r>
              <w:rPr>
                <w:rFonts w:ascii="宋体" w:cs="宋体" w:hint="eastAsia"/>
                <w:sz w:val="20"/>
              </w:rPr>
              <w:t>25</w:t>
            </w: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上年结转</w:t>
            </w:r>
          </w:p>
        </w:tc>
        <w:tc>
          <w:tcPr>
            <w:tcW w:w="4228" w:type="dxa"/>
            <w:gridSpan w:val="2"/>
            <w:tcBorders>
              <w:tl2br w:val="nil"/>
              <w:tr2bl w:val="nil"/>
            </w:tcBorders>
            <w:vAlign w:val="center"/>
          </w:tcPr>
          <w:p w:rsidR="00C22284" w:rsidRDefault="00C22284">
            <w:pPr>
              <w:jc w:val="center"/>
              <w:rPr>
                <w:rFonts w:ascii="宋体" w:cs="宋体"/>
                <w:sz w:val="20"/>
              </w:rPr>
            </w:pPr>
          </w:p>
        </w:tc>
      </w:tr>
      <w:tr w:rsidR="00C22284">
        <w:trPr>
          <w:trHeight w:val="330"/>
        </w:trPr>
        <w:tc>
          <w:tcPr>
            <w:tcW w:w="1443" w:type="dxa"/>
            <w:gridSpan w:val="3"/>
            <w:vMerge/>
            <w:tcBorders>
              <w:tl2br w:val="nil"/>
              <w:tr2bl w:val="nil"/>
            </w:tcBorders>
            <w:vAlign w:val="center"/>
          </w:tcPr>
          <w:p w:rsidR="00C22284" w:rsidRDefault="00C22284">
            <w:pPr>
              <w:jc w:val="center"/>
              <w:rPr>
                <w:rFonts w:ascii="宋体" w:cs="宋体"/>
                <w:sz w:val="20"/>
              </w:rPr>
            </w:pPr>
          </w:p>
        </w:tc>
        <w:tc>
          <w:tcPr>
            <w:tcW w:w="3349" w:type="dxa"/>
            <w:gridSpan w:val="2"/>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 xml:space="preserve">         其他资金</w:t>
            </w:r>
          </w:p>
        </w:tc>
        <w:tc>
          <w:tcPr>
            <w:tcW w:w="4228" w:type="dxa"/>
            <w:gridSpan w:val="2"/>
            <w:tcBorders>
              <w:tl2br w:val="nil"/>
              <w:tr2bl w:val="nil"/>
            </w:tcBorders>
            <w:vAlign w:val="center"/>
          </w:tcPr>
          <w:p w:rsidR="00C22284" w:rsidRDefault="00C22284">
            <w:pPr>
              <w:jc w:val="right"/>
              <w:rPr>
                <w:rFonts w:ascii="宋体" w:cs="宋体"/>
                <w:sz w:val="20"/>
              </w:rPr>
            </w:pPr>
          </w:p>
        </w:tc>
      </w:tr>
      <w:tr w:rsidR="00C22284">
        <w:trPr>
          <w:trHeight w:val="1015"/>
        </w:trPr>
        <w:tc>
          <w:tcPr>
            <w:tcW w:w="438" w:type="dxa"/>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年度</w:t>
            </w:r>
            <w:r>
              <w:rPr>
                <w:rFonts w:ascii="宋体" w:eastAsia="宋体" w:hAnsi="宋体" w:cs="宋体" w:hint="eastAsia"/>
                <w:color w:val="000000"/>
                <w:kern w:val="0"/>
                <w:sz w:val="20"/>
                <w:szCs w:val="20"/>
              </w:rPr>
              <w:br/>
              <w:t>目标</w:t>
            </w:r>
          </w:p>
        </w:tc>
        <w:tc>
          <w:tcPr>
            <w:tcW w:w="8582" w:type="dxa"/>
            <w:gridSpan w:val="6"/>
            <w:tcBorders>
              <w:tl2br w:val="nil"/>
              <w:tr2bl w:val="nil"/>
            </w:tcBorders>
            <w:vAlign w:val="center"/>
          </w:tcPr>
          <w:p w:rsidR="00C22284" w:rsidRDefault="00705CC2">
            <w:pPr>
              <w:jc w:val="left"/>
              <w:rPr>
                <w:rFonts w:ascii="宋体" w:cs="宋体"/>
                <w:sz w:val="20"/>
              </w:rPr>
            </w:pPr>
            <w:r>
              <w:rPr>
                <w:rFonts w:ascii="宋体" w:cs="宋体" w:hint="eastAsia"/>
                <w:sz w:val="20"/>
              </w:rPr>
              <w:t>通过项目的实施，进一步提升劳动人事争议仲裁（维权）的工作力度，引导劳资双方树立规范用工、遵规守法意识；及时办理各类劳动人事争议仲裁和劳动保障维权案件，协助市</w:t>
            </w:r>
            <w:proofErr w:type="gramStart"/>
            <w:r>
              <w:rPr>
                <w:rFonts w:ascii="宋体" w:cs="宋体" w:hint="eastAsia"/>
                <w:sz w:val="20"/>
              </w:rPr>
              <w:t>人社局</w:t>
            </w:r>
            <w:proofErr w:type="gramEnd"/>
            <w:r>
              <w:rPr>
                <w:rFonts w:ascii="宋体" w:cs="宋体" w:hint="eastAsia"/>
                <w:sz w:val="20"/>
              </w:rPr>
              <w:t>办理劳动保障监察案件，切实维护劳动者合法权益。</w:t>
            </w:r>
          </w:p>
        </w:tc>
      </w:tr>
      <w:tr w:rsidR="00C22284">
        <w:trPr>
          <w:trHeight w:val="508"/>
        </w:trPr>
        <w:tc>
          <w:tcPr>
            <w:tcW w:w="438"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绩</w:t>
            </w:r>
            <w:r>
              <w:rPr>
                <w:rFonts w:ascii="宋体" w:eastAsia="宋体" w:hAnsi="宋体" w:cs="宋体" w:hint="eastAsia"/>
                <w:color w:val="000000"/>
                <w:kern w:val="0"/>
                <w:sz w:val="20"/>
                <w:szCs w:val="20"/>
              </w:rPr>
              <w:br/>
              <w:t>效</w:t>
            </w:r>
            <w:r>
              <w:rPr>
                <w:rFonts w:ascii="宋体" w:eastAsia="宋体" w:hAnsi="宋体" w:cs="宋体" w:hint="eastAsia"/>
                <w:color w:val="000000"/>
                <w:kern w:val="0"/>
                <w:sz w:val="20"/>
                <w:szCs w:val="20"/>
              </w:rPr>
              <w:br/>
              <w:t>指</w:t>
            </w:r>
            <w:r>
              <w:rPr>
                <w:rFonts w:ascii="宋体" w:eastAsia="宋体" w:hAnsi="宋体" w:cs="宋体" w:hint="eastAsia"/>
                <w:color w:val="000000"/>
                <w:kern w:val="0"/>
                <w:sz w:val="20"/>
                <w:szCs w:val="20"/>
              </w:rPr>
              <w:br/>
              <w:t>标</w:t>
            </w:r>
          </w:p>
        </w:tc>
        <w:tc>
          <w:tcPr>
            <w:tcW w:w="723" w:type="dxa"/>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一级</w:t>
            </w:r>
            <w:r>
              <w:rPr>
                <w:rFonts w:ascii="宋体" w:eastAsia="宋体" w:hAnsi="宋体" w:cs="宋体" w:hint="eastAsia"/>
                <w:color w:val="000000"/>
                <w:kern w:val="0"/>
                <w:sz w:val="20"/>
                <w:szCs w:val="20"/>
              </w:rPr>
              <w:br/>
              <w:t>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二级指标</w:t>
            </w:r>
          </w:p>
        </w:tc>
        <w:tc>
          <w:tcPr>
            <w:tcW w:w="2872" w:type="dxa"/>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三级指标</w:t>
            </w:r>
          </w:p>
        </w:tc>
        <w:tc>
          <w:tcPr>
            <w:tcW w:w="4228" w:type="dxa"/>
            <w:gridSpan w:val="2"/>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指标值</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产出指标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数量指标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指标1：拖欠农民工工资举报投诉案件结案率</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≥98%</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质量指标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指标1：全市欠薪案件数、涉及人数、涉案金额</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同比下降</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时效指标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指标1：根治</w:t>
            </w:r>
            <w:proofErr w:type="gramStart"/>
            <w:r>
              <w:rPr>
                <w:rFonts w:ascii="宋体" w:eastAsia="宋体" w:hAnsi="宋体" w:cs="宋体" w:hint="eastAsia"/>
                <w:color w:val="000000"/>
                <w:kern w:val="0"/>
                <w:sz w:val="20"/>
                <w:szCs w:val="20"/>
              </w:rPr>
              <w:t>欠薪专项</w:t>
            </w:r>
            <w:proofErr w:type="gramEnd"/>
            <w:r>
              <w:rPr>
                <w:rFonts w:ascii="宋体" w:eastAsia="宋体" w:hAnsi="宋体" w:cs="宋体" w:hint="eastAsia"/>
                <w:color w:val="000000"/>
                <w:kern w:val="0"/>
                <w:sz w:val="20"/>
                <w:szCs w:val="20"/>
              </w:rPr>
              <w:t>行动</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达成年度指标</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成本指标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指标1：项目总成本</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≤25万元</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val="restart"/>
            <w:tcBorders>
              <w:tl2br w:val="nil"/>
              <w:tr2bl w:val="nil"/>
            </w:tcBorders>
            <w:vAlign w:val="center"/>
          </w:tcPr>
          <w:p w:rsidR="00C22284" w:rsidRDefault="00705CC2">
            <w:pPr>
              <w:widowControl/>
              <w:jc w:val="center"/>
              <w:textAlignment w:val="center"/>
              <w:rPr>
                <w:rFonts w:ascii="宋体" w:cs="宋体"/>
                <w:sz w:val="20"/>
              </w:rPr>
            </w:pPr>
            <w:r>
              <w:rPr>
                <w:rFonts w:ascii="宋体" w:eastAsia="宋体" w:hAnsi="宋体" w:cs="宋体" w:hint="eastAsia"/>
                <w:color w:val="000000"/>
                <w:kern w:val="0"/>
                <w:sz w:val="20"/>
                <w:szCs w:val="20"/>
              </w:rPr>
              <w:t>效益指标</w:t>
            </w: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经济效益指标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指标1：节约经济成本</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数据共享</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社会效益指标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指标1：缓解社会矛盾、严厉打击恶意欠薪</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有效</w:t>
            </w:r>
            <w:proofErr w:type="gramStart"/>
            <w:r>
              <w:rPr>
                <w:rFonts w:ascii="宋体" w:cs="宋体" w:hint="eastAsia"/>
                <w:sz w:val="20"/>
              </w:rPr>
              <w:t>缓解缓解</w:t>
            </w:r>
            <w:proofErr w:type="gramEnd"/>
            <w:r>
              <w:rPr>
                <w:rFonts w:ascii="宋体" w:cs="宋体" w:hint="eastAsia"/>
                <w:sz w:val="20"/>
              </w:rPr>
              <w:t>社会矛盾、严厉打击恶意欠薪</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textAlignment w:val="center"/>
              <w:rPr>
                <w:rFonts w:ascii="宋体" w:cs="宋体"/>
                <w:sz w:val="20"/>
              </w:rPr>
            </w:pPr>
            <w:r>
              <w:rPr>
                <w:rFonts w:ascii="宋体" w:eastAsia="宋体" w:hAnsi="宋体" w:cs="宋体" w:hint="eastAsia"/>
                <w:color w:val="000000"/>
                <w:kern w:val="0"/>
                <w:sz w:val="20"/>
                <w:szCs w:val="20"/>
              </w:rPr>
              <w:t>生态效益指标</w:t>
            </w:r>
          </w:p>
        </w:tc>
        <w:tc>
          <w:tcPr>
            <w:tcW w:w="2872" w:type="dxa"/>
            <w:tcBorders>
              <w:tl2br w:val="nil"/>
              <w:tr2bl w:val="nil"/>
            </w:tcBorders>
            <w:vAlign w:val="center"/>
          </w:tcPr>
          <w:p w:rsidR="00C22284" w:rsidRDefault="00705CC2">
            <w:pPr>
              <w:widowControl/>
              <w:jc w:val="left"/>
              <w:textAlignment w:val="center"/>
              <w:rPr>
                <w:rFonts w:ascii="宋体" w:cs="宋体"/>
                <w:sz w:val="20"/>
              </w:rPr>
            </w:pPr>
            <w:r>
              <w:rPr>
                <w:rFonts w:ascii="宋体" w:eastAsia="宋体" w:hAnsi="宋体" w:cs="宋体" w:hint="eastAsia"/>
                <w:color w:val="000000"/>
                <w:kern w:val="0"/>
                <w:sz w:val="20"/>
                <w:szCs w:val="20"/>
              </w:rPr>
              <w:t>指标1：不适用</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不适用</w:t>
            </w:r>
          </w:p>
        </w:tc>
      </w:tr>
      <w:tr w:rsidR="00C22284">
        <w:trPr>
          <w:trHeight w:val="420"/>
        </w:trPr>
        <w:tc>
          <w:tcPr>
            <w:tcW w:w="438" w:type="dxa"/>
            <w:vMerge/>
            <w:tcBorders>
              <w:tl2br w:val="nil"/>
              <w:tr2bl w:val="nil"/>
            </w:tcBorders>
            <w:vAlign w:val="center"/>
          </w:tcPr>
          <w:p w:rsidR="00C22284" w:rsidRDefault="00C22284">
            <w:pPr>
              <w:jc w:val="center"/>
              <w:rPr>
                <w:rFonts w:ascii="宋体" w:cs="宋体"/>
                <w:sz w:val="20"/>
              </w:rPr>
            </w:pPr>
          </w:p>
        </w:tc>
        <w:tc>
          <w:tcPr>
            <w:tcW w:w="723" w:type="dxa"/>
            <w:vMerge/>
            <w:tcBorders>
              <w:tl2br w:val="nil"/>
              <w:tr2bl w:val="nil"/>
            </w:tcBorders>
            <w:vAlign w:val="center"/>
          </w:tcPr>
          <w:p w:rsidR="00C22284" w:rsidRDefault="00C22284">
            <w:pPr>
              <w:jc w:val="center"/>
              <w:rPr>
                <w:rFonts w:ascii="宋体" w:cs="宋体"/>
                <w:sz w:val="20"/>
              </w:rPr>
            </w:pPr>
          </w:p>
        </w:tc>
        <w:tc>
          <w:tcPr>
            <w:tcW w:w="759" w:type="dxa"/>
            <w:gridSpan w:val="2"/>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可持续影响指标</w:t>
            </w:r>
          </w:p>
        </w:tc>
        <w:tc>
          <w:tcPr>
            <w:tcW w:w="2872" w:type="dxa"/>
            <w:tcBorders>
              <w:tl2br w:val="nil"/>
              <w:tr2bl w:val="nil"/>
            </w:tcBorders>
            <w:vAlign w:val="center"/>
          </w:tcPr>
          <w:p w:rsidR="00C22284" w:rsidRDefault="00705CC2">
            <w:pPr>
              <w:widowControl/>
              <w:jc w:val="left"/>
              <w:textAlignment w:val="center"/>
              <w:rPr>
                <w:rFonts w:ascii="宋体" w:eastAsia="宋体" w:hAnsi="宋体" w:cs="宋体"/>
                <w:sz w:val="20"/>
              </w:rPr>
            </w:pPr>
            <w:r>
              <w:rPr>
                <w:rFonts w:ascii="宋体" w:eastAsia="宋体" w:hAnsi="宋体" w:cs="宋体" w:hint="eastAsia"/>
                <w:color w:val="000000"/>
                <w:kern w:val="0"/>
                <w:sz w:val="20"/>
                <w:szCs w:val="20"/>
              </w:rPr>
              <w:t>指标1：项目实施建立维护劳动者合法权益长效机制</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项目实施建立维护劳动者合法权益长效机制</w:t>
            </w:r>
          </w:p>
        </w:tc>
      </w:tr>
      <w:tr w:rsidR="00C22284">
        <w:trPr>
          <w:trHeight w:val="363"/>
        </w:trPr>
        <w:tc>
          <w:tcPr>
            <w:tcW w:w="438" w:type="dxa"/>
            <w:vMerge/>
            <w:tcBorders>
              <w:tl2br w:val="nil"/>
              <w:tr2bl w:val="nil"/>
            </w:tcBorders>
            <w:vAlign w:val="center"/>
          </w:tcPr>
          <w:p w:rsidR="00C22284" w:rsidRDefault="00C22284">
            <w:pPr>
              <w:jc w:val="center"/>
              <w:rPr>
                <w:rFonts w:ascii="宋体" w:cs="宋体"/>
                <w:sz w:val="20"/>
              </w:rPr>
            </w:pPr>
          </w:p>
        </w:tc>
        <w:tc>
          <w:tcPr>
            <w:tcW w:w="723" w:type="dxa"/>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满意度指标</w:t>
            </w:r>
          </w:p>
        </w:tc>
        <w:tc>
          <w:tcPr>
            <w:tcW w:w="759" w:type="dxa"/>
            <w:gridSpan w:val="2"/>
            <w:tcBorders>
              <w:tl2br w:val="nil"/>
              <w:tr2bl w:val="nil"/>
            </w:tcBorders>
            <w:vAlign w:val="center"/>
          </w:tcPr>
          <w:p w:rsidR="00C22284" w:rsidRDefault="00705CC2">
            <w:pPr>
              <w:widowControl/>
              <w:spacing w:line="200" w:lineRule="exact"/>
              <w:jc w:val="center"/>
              <w:rPr>
                <w:rFonts w:ascii="宋体" w:eastAsia="宋体" w:hAnsi="宋体" w:cs="宋体"/>
                <w:sz w:val="20"/>
              </w:rPr>
            </w:pPr>
            <w:r>
              <w:rPr>
                <w:rFonts w:ascii="宋体" w:eastAsia="宋体" w:hAnsi="宋体" w:cs="宋体" w:hint="eastAsia"/>
                <w:sz w:val="20"/>
              </w:rPr>
              <w:t>满意度指标</w:t>
            </w:r>
          </w:p>
        </w:tc>
        <w:tc>
          <w:tcPr>
            <w:tcW w:w="2872" w:type="dxa"/>
            <w:tcBorders>
              <w:tl2br w:val="nil"/>
              <w:tr2bl w:val="nil"/>
            </w:tcBorders>
            <w:vAlign w:val="center"/>
          </w:tcPr>
          <w:p w:rsidR="00C22284" w:rsidRDefault="00705CC2">
            <w:pPr>
              <w:widowControl/>
              <w:jc w:val="left"/>
              <w:textAlignment w:val="center"/>
              <w:rPr>
                <w:rFonts w:ascii="宋体" w:eastAsia="宋体" w:hAnsi="宋体" w:cs="宋体"/>
                <w:sz w:val="20"/>
              </w:rPr>
            </w:pPr>
            <w:r>
              <w:rPr>
                <w:rFonts w:ascii="宋体" w:eastAsia="宋体" w:hAnsi="宋体" w:cs="宋体" w:hint="eastAsia"/>
                <w:color w:val="000000"/>
                <w:kern w:val="0"/>
                <w:sz w:val="20"/>
                <w:szCs w:val="20"/>
              </w:rPr>
              <w:t>指标1：服务对象满意度</w:t>
            </w:r>
          </w:p>
        </w:tc>
        <w:tc>
          <w:tcPr>
            <w:tcW w:w="4228" w:type="dxa"/>
            <w:gridSpan w:val="2"/>
            <w:tcBorders>
              <w:tl2br w:val="nil"/>
              <w:tr2bl w:val="nil"/>
            </w:tcBorders>
            <w:vAlign w:val="center"/>
          </w:tcPr>
          <w:p w:rsidR="00C22284" w:rsidRDefault="00705CC2">
            <w:pPr>
              <w:jc w:val="center"/>
              <w:rPr>
                <w:rFonts w:ascii="宋体" w:cs="宋体"/>
                <w:sz w:val="20"/>
              </w:rPr>
            </w:pPr>
            <w:r>
              <w:rPr>
                <w:rFonts w:ascii="宋体" w:cs="宋体" w:hint="eastAsia"/>
                <w:sz w:val="20"/>
              </w:rPr>
              <w:t>≥98%</w:t>
            </w:r>
          </w:p>
        </w:tc>
      </w:tr>
    </w:tbl>
    <w:p w:rsidR="00C22284" w:rsidRDefault="00C22284">
      <w:pPr>
        <w:ind w:firstLineChars="200" w:firstLine="420"/>
      </w:pPr>
    </w:p>
    <w:p w:rsidR="00C22284" w:rsidRDefault="00705CC2" w:rsidP="009D4293">
      <w:pPr>
        <w:adjustRightInd w:val="0"/>
        <w:snapToGrid w:val="0"/>
        <w:spacing w:line="58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（二）机关运行经费。</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淮北市劳动人事争议仲裁院为非参照公务员法管理的事业单位，按照部门预算机关运行经费口径，</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w:t>
      </w:r>
      <w:proofErr w:type="gramStart"/>
      <w:r>
        <w:rPr>
          <w:rFonts w:ascii="TimesNewRoman" w:eastAsia="仿宋_GB2312" w:hAnsi="TimesNewRoman" w:cs="TimesNewRoman" w:hint="eastAsia"/>
          <w:kern w:val="0"/>
          <w:sz w:val="32"/>
          <w:szCs w:val="32"/>
        </w:rPr>
        <w:t>无机关</w:t>
      </w:r>
      <w:proofErr w:type="gramEnd"/>
      <w:r>
        <w:rPr>
          <w:rFonts w:ascii="TimesNewRoman" w:eastAsia="仿宋_GB2312" w:hAnsi="TimesNewRoman" w:cs="TimesNewRoman" w:hint="eastAsia"/>
          <w:kern w:val="0"/>
          <w:sz w:val="32"/>
          <w:szCs w:val="32"/>
        </w:rPr>
        <w:t>运行经费财政拨款预算。</w:t>
      </w:r>
    </w:p>
    <w:p w:rsidR="00C22284" w:rsidRDefault="00705CC2" w:rsidP="009D4293">
      <w:pPr>
        <w:adjustRightInd w:val="0"/>
        <w:snapToGrid w:val="0"/>
        <w:spacing w:line="58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（三）政府采购情况。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淮北市劳动人事争议仲裁院</w:t>
      </w: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年政府采购预算</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万元。其中：政府采购货物预算</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万元，政府采购工程预算</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万元，政府采购服务预算</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w:t>
      </w:r>
    </w:p>
    <w:p w:rsidR="00C22284" w:rsidRDefault="00705CC2" w:rsidP="009D4293">
      <w:pPr>
        <w:adjustRightInd w:val="0"/>
        <w:snapToGrid w:val="0"/>
        <w:spacing w:line="580" w:lineRule="exact"/>
        <w:ind w:firstLineChars="200" w:firstLine="640"/>
        <w:rPr>
          <w:rFonts w:ascii="TimesNewRoman" w:eastAsia="仿宋_GB2312" w:hAnsi="TimesNewRoman" w:cs="TimesNewRoman"/>
          <w:b/>
          <w:color w:val="000000" w:themeColor="text1"/>
          <w:sz w:val="32"/>
          <w:szCs w:val="32"/>
        </w:rPr>
      </w:pPr>
      <w:r>
        <w:rPr>
          <w:rFonts w:ascii="TimesNewRoman" w:eastAsia="仿宋_GB2312" w:hAnsi="TimesNewRoman" w:cs="TimesNewRoman" w:hint="eastAsia"/>
          <w:b/>
          <w:color w:val="000000" w:themeColor="text1"/>
          <w:sz w:val="32"/>
          <w:szCs w:val="32"/>
        </w:rPr>
        <w:t>（四）国有资产占有使用情况。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截至</w:t>
      </w:r>
      <w:r>
        <w:rPr>
          <w:rFonts w:ascii="TimesNewRoman" w:eastAsia="仿宋_GB2312" w:hAnsi="TimesNewRoman" w:cs="TimesNewRoman" w:hint="eastAsia"/>
          <w:kern w:val="0"/>
          <w:sz w:val="32"/>
          <w:szCs w:val="32"/>
        </w:rPr>
        <w:t>2024</w:t>
      </w:r>
      <w:r>
        <w:rPr>
          <w:rFonts w:ascii="TimesNewRoman" w:eastAsia="仿宋_GB2312" w:hAnsi="TimesNewRoman" w:cs="TimesNewRoman" w:hint="eastAsia"/>
          <w:kern w:val="0"/>
          <w:sz w:val="32"/>
          <w:szCs w:val="32"/>
        </w:rPr>
        <w:t>年</w:t>
      </w:r>
      <w:r>
        <w:rPr>
          <w:rFonts w:ascii="TimesNewRoman" w:eastAsia="仿宋_GB2312" w:hAnsi="TimesNewRoman" w:cs="TimesNewRoman" w:hint="eastAsia"/>
          <w:kern w:val="0"/>
          <w:sz w:val="32"/>
          <w:szCs w:val="32"/>
        </w:rPr>
        <w:t>12</w:t>
      </w:r>
      <w:r>
        <w:rPr>
          <w:rFonts w:ascii="TimesNewRoman" w:eastAsia="仿宋_GB2312" w:hAnsi="TimesNewRoman" w:cs="TimesNewRoman" w:hint="eastAsia"/>
          <w:kern w:val="0"/>
          <w:sz w:val="32"/>
          <w:szCs w:val="32"/>
        </w:rPr>
        <w:t>月</w:t>
      </w:r>
      <w:r>
        <w:rPr>
          <w:rFonts w:ascii="TimesNewRoman" w:eastAsia="仿宋_GB2312" w:hAnsi="TimesNewRoman" w:cs="TimesNewRoman" w:hint="eastAsia"/>
          <w:kern w:val="0"/>
          <w:sz w:val="32"/>
          <w:szCs w:val="32"/>
        </w:rPr>
        <w:t>31</w:t>
      </w:r>
      <w:r>
        <w:rPr>
          <w:rFonts w:ascii="TimesNewRoman" w:eastAsia="仿宋_GB2312" w:hAnsi="TimesNewRoman" w:cs="TimesNewRoman" w:hint="eastAsia"/>
          <w:kern w:val="0"/>
          <w:sz w:val="32"/>
          <w:szCs w:val="32"/>
        </w:rPr>
        <w:t>日，淮北市劳动人事争议仲裁院共有车辆</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辆，单价</w:t>
      </w:r>
      <w:r>
        <w:rPr>
          <w:rFonts w:ascii="TimesNewRoman" w:eastAsia="仿宋_GB2312" w:hAnsi="TimesNewRoman" w:cs="TimesNewRoman" w:hint="eastAsia"/>
          <w:kern w:val="0"/>
          <w:sz w:val="32"/>
          <w:szCs w:val="32"/>
        </w:rPr>
        <w:t>50</w:t>
      </w:r>
      <w:r>
        <w:rPr>
          <w:rFonts w:ascii="TimesNewRoman" w:eastAsia="仿宋_GB2312" w:hAnsi="TimesNewRoman" w:cs="TimesNewRoman" w:hint="eastAsia"/>
          <w:kern w:val="0"/>
          <w:sz w:val="32"/>
          <w:szCs w:val="32"/>
        </w:rPr>
        <w:t>万元以上的通用设备</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台（套），单价</w:t>
      </w:r>
      <w:r>
        <w:rPr>
          <w:rFonts w:ascii="TimesNewRoman" w:eastAsia="仿宋_GB2312" w:hAnsi="TimesNewRoman" w:cs="TimesNewRoman" w:hint="eastAsia"/>
          <w:kern w:val="0"/>
          <w:sz w:val="32"/>
          <w:szCs w:val="32"/>
        </w:rPr>
        <w:t>100</w:t>
      </w:r>
      <w:r>
        <w:rPr>
          <w:rFonts w:ascii="TimesNewRoman" w:eastAsia="仿宋_GB2312" w:hAnsi="TimesNewRoman" w:cs="TimesNewRoman" w:hint="eastAsia"/>
          <w:kern w:val="0"/>
          <w:sz w:val="32"/>
          <w:szCs w:val="32"/>
        </w:rPr>
        <w:t>万元以上的专用设备</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台（套）。</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年单位预算安排购置公务用车</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辆，购置费</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万元；安排购置单价</w:t>
      </w:r>
      <w:r>
        <w:rPr>
          <w:rFonts w:ascii="TimesNewRoman" w:eastAsia="仿宋_GB2312" w:hAnsi="TimesNewRoman" w:cs="TimesNewRoman" w:hint="eastAsia"/>
          <w:kern w:val="0"/>
          <w:sz w:val="32"/>
          <w:szCs w:val="32"/>
        </w:rPr>
        <w:t>50</w:t>
      </w:r>
      <w:r>
        <w:rPr>
          <w:rFonts w:ascii="TimesNewRoman" w:eastAsia="仿宋_GB2312" w:hAnsi="TimesNewRoman" w:cs="TimesNewRoman" w:hint="eastAsia"/>
          <w:kern w:val="0"/>
          <w:sz w:val="32"/>
          <w:szCs w:val="32"/>
        </w:rPr>
        <w:t>万元以上的通用设备</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台（套），购置费</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万元；安排购置单价</w:t>
      </w:r>
      <w:r>
        <w:rPr>
          <w:rFonts w:ascii="TimesNewRoman" w:eastAsia="仿宋_GB2312" w:hAnsi="TimesNewRoman" w:cs="TimesNewRoman" w:hint="eastAsia"/>
          <w:kern w:val="0"/>
          <w:sz w:val="32"/>
          <w:szCs w:val="32"/>
        </w:rPr>
        <w:t>100</w:t>
      </w:r>
      <w:r>
        <w:rPr>
          <w:rFonts w:ascii="TimesNewRoman" w:eastAsia="仿宋_GB2312" w:hAnsi="TimesNewRoman" w:cs="TimesNewRoman" w:hint="eastAsia"/>
          <w:kern w:val="0"/>
          <w:sz w:val="32"/>
          <w:szCs w:val="32"/>
        </w:rPr>
        <w:t>万元以上专用设备</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台（套），购置费</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w:t>
      </w:r>
    </w:p>
    <w:p w:rsidR="00C22284" w:rsidRDefault="00705CC2" w:rsidP="009D4293">
      <w:pPr>
        <w:adjustRightInd w:val="0"/>
        <w:snapToGrid w:val="0"/>
        <w:spacing w:line="580" w:lineRule="exact"/>
        <w:ind w:firstLineChars="200" w:firstLine="640"/>
        <w:rPr>
          <w:rFonts w:ascii="TimesNewRoman" w:eastAsia="仿宋_GB2312" w:hAnsi="TimesNewRoman" w:cs="TimesNewRoman"/>
          <w:b/>
          <w:sz w:val="32"/>
          <w:szCs w:val="32"/>
        </w:rPr>
      </w:pPr>
      <w:r>
        <w:rPr>
          <w:rFonts w:ascii="TimesNewRoman" w:eastAsia="仿宋_GB2312" w:hAnsi="TimesNewRoman" w:cs="TimesNewRoman" w:hint="eastAsia"/>
          <w:b/>
          <w:sz w:val="32"/>
          <w:szCs w:val="32"/>
        </w:rPr>
        <w:t>（五）绩效目标设置情况。</w:t>
      </w:r>
    </w:p>
    <w:p w:rsidR="00C22284" w:rsidRDefault="00705CC2">
      <w:pPr>
        <w:ind w:firstLineChars="200" w:firstLine="640"/>
        <w:rPr>
          <w:rFonts w:ascii="TimesNewRoman" w:eastAsia="仿宋_GB2312" w:hAnsi="TimesNewRoman" w:cs="TimesNewRoman"/>
          <w:kern w:val="0"/>
          <w:sz w:val="32"/>
          <w:szCs w:val="32"/>
        </w:rPr>
      </w:pPr>
      <w:r>
        <w:rPr>
          <w:rFonts w:ascii="TimesNewRoman" w:eastAsia="仿宋_GB2312" w:hAnsi="TimesNewRoman" w:cs="TimesNewRoman" w:hint="eastAsia"/>
          <w:kern w:val="0"/>
          <w:sz w:val="32"/>
          <w:szCs w:val="32"/>
        </w:rPr>
        <w:t>2025</w:t>
      </w:r>
      <w:r>
        <w:rPr>
          <w:rFonts w:ascii="TimesNewRoman" w:eastAsia="仿宋_GB2312" w:hAnsi="TimesNewRoman" w:cs="TimesNewRoman" w:hint="eastAsia"/>
          <w:kern w:val="0"/>
          <w:sz w:val="32"/>
          <w:szCs w:val="32"/>
        </w:rPr>
        <w:t>年，淮北市劳动人事争议仲裁院</w:t>
      </w:r>
      <w:r>
        <w:rPr>
          <w:rFonts w:ascii="TimesNewRoman" w:eastAsia="仿宋_GB2312" w:hAnsi="TimesNewRoman" w:cs="TimesNewRoman" w:hint="eastAsia"/>
          <w:kern w:val="0"/>
          <w:sz w:val="32"/>
          <w:szCs w:val="32"/>
        </w:rPr>
        <w:t>2</w:t>
      </w:r>
      <w:r>
        <w:rPr>
          <w:rFonts w:ascii="TimesNewRoman" w:eastAsia="仿宋_GB2312" w:hAnsi="TimesNewRoman" w:cs="TimesNewRoman" w:hint="eastAsia"/>
          <w:kern w:val="0"/>
          <w:sz w:val="32"/>
          <w:szCs w:val="32"/>
        </w:rPr>
        <w:t>个项目实行了绩效目标</w:t>
      </w:r>
      <w:r>
        <w:rPr>
          <w:rFonts w:ascii="TimesNewRoman" w:eastAsia="仿宋_GB2312" w:hAnsi="TimesNewRoman" w:cs="TimesNewRoman" w:hint="eastAsia"/>
          <w:kern w:val="0"/>
          <w:sz w:val="32"/>
          <w:szCs w:val="32"/>
        </w:rPr>
        <w:lastRenderedPageBreak/>
        <w:t>管理，涉及一般公共预算当年财政拨款</w:t>
      </w:r>
      <w:r>
        <w:rPr>
          <w:rFonts w:ascii="TimesNewRoman" w:eastAsia="仿宋_GB2312" w:hAnsi="TimesNewRoman" w:cs="TimesNewRoman" w:hint="eastAsia"/>
          <w:kern w:val="0"/>
          <w:sz w:val="32"/>
          <w:szCs w:val="32"/>
        </w:rPr>
        <w:t>64</w:t>
      </w:r>
      <w:r>
        <w:rPr>
          <w:rFonts w:ascii="TimesNewRoman" w:eastAsia="仿宋_GB2312" w:hAnsi="TimesNewRoman" w:cs="TimesNewRoman" w:hint="eastAsia"/>
          <w:kern w:val="0"/>
          <w:sz w:val="32"/>
          <w:szCs w:val="32"/>
        </w:rPr>
        <w:t>万元、政府性基金预算当年财政拨款</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万元、财政专户管理资金当年安排</w:t>
      </w:r>
      <w:r>
        <w:rPr>
          <w:rFonts w:ascii="TimesNewRoman" w:eastAsia="仿宋_GB2312" w:hAnsi="TimesNewRoman" w:cs="TimesNewRoman" w:hint="eastAsia"/>
          <w:kern w:val="0"/>
          <w:sz w:val="32"/>
          <w:szCs w:val="32"/>
        </w:rPr>
        <w:t>0</w:t>
      </w:r>
      <w:r>
        <w:rPr>
          <w:rFonts w:ascii="TimesNewRoman" w:eastAsia="仿宋_GB2312" w:hAnsi="TimesNewRoman" w:cs="TimesNewRoman" w:hint="eastAsia"/>
          <w:kern w:val="0"/>
          <w:sz w:val="32"/>
          <w:szCs w:val="32"/>
        </w:rPr>
        <w:t>万元。</w:t>
      </w:r>
    </w:p>
    <w:p w:rsidR="00C22284" w:rsidRDefault="00C22284">
      <w:pPr>
        <w:pStyle w:val="a5"/>
        <w:adjustRightInd w:val="0"/>
        <w:snapToGrid w:val="0"/>
        <w:spacing w:line="560" w:lineRule="exact"/>
        <w:jc w:val="center"/>
        <w:rPr>
          <w:rFonts w:ascii="TimesNewRoman" w:eastAsia="黑体" w:hAnsi="TimesNewRoman" w:cs="TimesNewRoman"/>
          <w:bCs/>
          <w:sz w:val="36"/>
          <w:szCs w:val="36"/>
        </w:rPr>
      </w:pPr>
    </w:p>
    <w:p w:rsidR="00C22284" w:rsidRDefault="00705CC2">
      <w:pPr>
        <w:pStyle w:val="a5"/>
        <w:adjustRightInd w:val="0"/>
        <w:snapToGrid w:val="0"/>
        <w:spacing w:line="560" w:lineRule="exact"/>
        <w:jc w:val="center"/>
        <w:rPr>
          <w:rFonts w:ascii="TimesNewRoman" w:eastAsia="黑体" w:hAnsi="TimesNewRoman" w:cs="TimesNewRoman"/>
          <w:bCs/>
          <w:sz w:val="36"/>
          <w:szCs w:val="36"/>
        </w:rPr>
      </w:pPr>
      <w:r>
        <w:rPr>
          <w:rFonts w:ascii="TimesNewRoman" w:eastAsia="黑体" w:hAnsi="TimesNewRoman" w:cs="TimesNewRoman" w:hint="eastAsia"/>
          <w:bCs/>
          <w:sz w:val="36"/>
          <w:szCs w:val="36"/>
        </w:rPr>
        <w:t>第四部分</w:t>
      </w:r>
      <w:r>
        <w:rPr>
          <w:rFonts w:ascii="TimesNewRoman" w:eastAsia="黑体" w:hAnsi="TimesNewRoman" w:cs="TimesNewRoman" w:hint="eastAsia"/>
          <w:bCs/>
          <w:sz w:val="36"/>
          <w:szCs w:val="36"/>
        </w:rPr>
        <w:t xml:space="preserve"> </w:t>
      </w:r>
      <w:r>
        <w:rPr>
          <w:rFonts w:ascii="TimesNewRoman" w:eastAsia="黑体" w:hAnsi="TimesNewRoman" w:cs="TimesNewRoman" w:hint="eastAsia"/>
          <w:bCs/>
          <w:sz w:val="36"/>
          <w:szCs w:val="36"/>
        </w:rPr>
        <w:t>名词解释</w:t>
      </w:r>
    </w:p>
    <w:p w:rsidR="00C22284" w:rsidRDefault="00C22284"/>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一、财政拨款收入：</w:t>
      </w:r>
      <w:r>
        <w:rPr>
          <w:rFonts w:ascii="TimesNewRoman" w:eastAsia="仿宋_GB2312" w:hAnsi="TimesNewRoman" w:cs="TimesNewRoman" w:hint="eastAsia"/>
          <w:sz w:val="32"/>
          <w:szCs w:val="32"/>
        </w:rPr>
        <w:t>指部门或单位从同级财政部门取得的财政预算资金。</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二、事业收入：</w:t>
      </w:r>
      <w:r>
        <w:rPr>
          <w:rFonts w:ascii="TimesNewRoman" w:eastAsia="仿宋_GB2312" w:hAnsi="TimesNewRoman" w:cs="TimesNewRoman" w:hint="eastAsia"/>
          <w:sz w:val="32"/>
          <w:szCs w:val="32"/>
        </w:rPr>
        <w:t>指事业单位开展专业业务活动及辅助活动所取得的收入。</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三、财政专户管理资金：</w:t>
      </w:r>
      <w:r>
        <w:rPr>
          <w:rFonts w:ascii="TimesNewRoman" w:eastAsia="仿宋_GB2312" w:hAnsi="TimesNewRoman" w:cs="TimesNewRoman" w:hint="eastAsia"/>
          <w:sz w:val="32"/>
          <w:szCs w:val="32"/>
        </w:rPr>
        <w:t>指按照非税收入管理相关规定，纳入财政专户管理的教育收费等。</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四、事业单位经营收入：</w:t>
      </w:r>
      <w:r>
        <w:rPr>
          <w:rFonts w:ascii="TimesNewRoman" w:eastAsia="仿宋_GB2312" w:hAnsi="TimesNewRoman" w:cs="TimesNewRoman" w:hint="eastAsia"/>
          <w:sz w:val="32"/>
          <w:szCs w:val="32"/>
        </w:rPr>
        <w:t>指事业单位在专业业务活动及其辅助活动之外开展非独立核算经营活动取得的收入。</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五、附属单位上缴收入：</w:t>
      </w:r>
      <w:r>
        <w:rPr>
          <w:rFonts w:ascii="TimesNewRoman" w:eastAsia="仿宋_GB2312" w:hAnsi="TimesNewRoman" w:cs="TimesNewRoman" w:hint="eastAsia"/>
          <w:sz w:val="32"/>
          <w:szCs w:val="32"/>
        </w:rPr>
        <w:t>本单位所属下级单位上缴给本单位的全部收入。</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六、上年结转：</w:t>
      </w:r>
      <w:r>
        <w:rPr>
          <w:rFonts w:ascii="TimesNewRoman" w:eastAsia="仿宋_GB2312" w:hAnsi="TimesNewRoman" w:cs="TimesNewRoman" w:hint="eastAsia"/>
          <w:sz w:val="32"/>
          <w:szCs w:val="32"/>
        </w:rPr>
        <w:t>指以前年度安排、结转到本年仍按原用途继续使用的资金。</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七、结转下年：</w:t>
      </w:r>
      <w:r>
        <w:rPr>
          <w:rFonts w:ascii="TimesNewRoman" w:eastAsia="仿宋_GB2312" w:hAnsi="TimesNewRoman" w:cs="TimesNewRoman" w:hint="eastAsia"/>
          <w:sz w:val="32"/>
          <w:szCs w:val="32"/>
        </w:rPr>
        <w:t>指以前年度预算安排、因客观条件发生变化无法按原计划实施，</w:t>
      </w:r>
      <w:proofErr w:type="gramStart"/>
      <w:r>
        <w:rPr>
          <w:rFonts w:ascii="TimesNewRoman" w:eastAsia="仿宋_GB2312" w:hAnsi="TimesNewRoman" w:cs="TimesNewRoman" w:hint="eastAsia"/>
          <w:sz w:val="32"/>
          <w:szCs w:val="32"/>
        </w:rPr>
        <w:t>需以后</w:t>
      </w:r>
      <w:proofErr w:type="gramEnd"/>
      <w:r>
        <w:rPr>
          <w:rFonts w:ascii="TimesNewRoman" w:eastAsia="仿宋_GB2312" w:hAnsi="TimesNewRoman" w:cs="TimesNewRoman" w:hint="eastAsia"/>
          <w:sz w:val="32"/>
          <w:szCs w:val="32"/>
        </w:rPr>
        <w:t>年度按原用途继续使用的资金。</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lastRenderedPageBreak/>
        <w:t>八、基本支出：</w:t>
      </w:r>
      <w:r>
        <w:rPr>
          <w:rFonts w:ascii="TimesNewRoman" w:eastAsia="仿宋_GB2312" w:hAnsi="TimesNewRoman" w:cs="TimesNewRoman" w:hint="eastAsia"/>
          <w:sz w:val="32"/>
          <w:szCs w:val="32"/>
        </w:rPr>
        <w:t>指为保障机构正常运转、完成日常工作任务而发生的人员支出和公用支出。</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九、项目支出：</w:t>
      </w:r>
      <w:r>
        <w:rPr>
          <w:rFonts w:ascii="TimesNewRoman" w:eastAsia="仿宋_GB2312" w:hAnsi="TimesNewRoman" w:cs="TimesNewRoman" w:hint="eastAsia"/>
          <w:sz w:val="32"/>
          <w:szCs w:val="32"/>
        </w:rPr>
        <w:t>指在除基本支出之外的支出，主要用于完成特定的工作任务和事业发展目标。</w:t>
      </w:r>
    </w:p>
    <w:p w:rsidR="00C22284" w:rsidRDefault="00705CC2" w:rsidP="009D4293">
      <w:pPr>
        <w:pStyle w:val="a5"/>
        <w:adjustRightInd w:val="0"/>
        <w:snapToGrid w:val="0"/>
        <w:spacing w:line="560" w:lineRule="exact"/>
        <w:ind w:firstLineChars="196" w:firstLine="628"/>
        <w:rPr>
          <w:rFonts w:ascii="TimesNewRoman" w:eastAsia="仿宋_GB2312" w:hAnsi="TimesNewRoman" w:cs="TimesNewRoman"/>
          <w:sz w:val="32"/>
          <w:szCs w:val="32"/>
        </w:rPr>
      </w:pPr>
      <w:r>
        <w:rPr>
          <w:rFonts w:ascii="TimesNewRoman" w:eastAsia="仿宋_GB2312" w:hAnsi="TimesNewRoman" w:cs="TimesNewRoman" w:hint="eastAsia"/>
          <w:b/>
          <w:sz w:val="32"/>
          <w:szCs w:val="32"/>
        </w:rPr>
        <w:t>十、机关运行经费</w:t>
      </w:r>
      <w:r>
        <w:rPr>
          <w:rFonts w:ascii="TimesNewRoman" w:eastAsia="仿宋_GB2312" w:hAnsi="TimesNewRoman" w:cs="TimesNewRoman" w:hint="eastAsia"/>
          <w:b/>
          <w:sz w:val="32"/>
          <w:szCs w:val="32"/>
        </w:rPr>
        <w:t xml:space="preserve">: </w:t>
      </w:r>
      <w:r>
        <w:rPr>
          <w:rFonts w:ascii="TimesNewRoman" w:eastAsia="仿宋_GB2312" w:hAnsi="TimesNewRoman" w:cs="TimesNewRoman" w:hint="eastAsia"/>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rsidR="00C22284" w:rsidRDefault="00C22284"/>
    <w:p w:rsidR="00C22284" w:rsidRDefault="00C22284"/>
    <w:p w:rsidR="00C22284" w:rsidRDefault="00C22284"/>
    <w:p w:rsidR="00C22284" w:rsidRDefault="00C22284"/>
    <w:p w:rsidR="00C22284" w:rsidRDefault="00C22284"/>
    <w:sectPr w:rsidR="00C22284" w:rsidSect="00C22284">
      <w:pgSz w:w="11906" w:h="16838"/>
      <w:pgMar w:top="1304" w:right="1134" w:bottom="1304" w:left="124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05CC2" w:rsidRDefault="00705CC2" w:rsidP="009D4293">
      <w:r>
        <w:separator/>
      </w:r>
    </w:p>
  </w:endnote>
  <w:endnote w:type="continuationSeparator" w:id="1">
    <w:p w:rsidR="00705CC2" w:rsidRDefault="00705CC2" w:rsidP="009D429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sNewRoman">
    <w:altName w:val="Arial Unicode MS"/>
    <w:charset w:val="00"/>
    <w:family w:val="auto"/>
    <w:pitch w:val="default"/>
    <w:sig w:usb0="00000000" w:usb1="D00078FF" w:usb2="00000029" w:usb3="00000000" w:csb0="600001FF" w:csb1="FFFF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Arial Unicode MS"/>
    <w:charset w:val="86"/>
    <w:family w:val="modern"/>
    <w:pitch w:val="fixed"/>
    <w:sig w:usb0="00000000" w:usb1="080E0000" w:usb2="00000010" w:usb3="00000000" w:csb0="00040000" w:csb1="00000000"/>
  </w:font>
  <w:font w:name="楷体_GB2312">
    <w:altName w:val="Arial Unicode MS"/>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05CC2" w:rsidRDefault="00705CC2" w:rsidP="009D4293">
      <w:r>
        <w:separator/>
      </w:r>
    </w:p>
  </w:footnote>
  <w:footnote w:type="continuationSeparator" w:id="1">
    <w:p w:rsidR="00705CC2" w:rsidRDefault="00705CC2" w:rsidP="009D429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907C4"/>
    <w:rsid w:val="00011743"/>
    <w:rsid w:val="0005555A"/>
    <w:rsid w:val="000D295E"/>
    <w:rsid w:val="000E28EE"/>
    <w:rsid w:val="001139D8"/>
    <w:rsid w:val="00191814"/>
    <w:rsid w:val="001A3326"/>
    <w:rsid w:val="001C0F92"/>
    <w:rsid w:val="001C3C4E"/>
    <w:rsid w:val="0025304C"/>
    <w:rsid w:val="00267E33"/>
    <w:rsid w:val="00296A60"/>
    <w:rsid w:val="0032314D"/>
    <w:rsid w:val="00323202"/>
    <w:rsid w:val="003233EB"/>
    <w:rsid w:val="00377062"/>
    <w:rsid w:val="003B6827"/>
    <w:rsid w:val="003E182F"/>
    <w:rsid w:val="004A4DC6"/>
    <w:rsid w:val="005043A8"/>
    <w:rsid w:val="00571F90"/>
    <w:rsid w:val="0057562B"/>
    <w:rsid w:val="005B0109"/>
    <w:rsid w:val="006160F7"/>
    <w:rsid w:val="006546AF"/>
    <w:rsid w:val="00657102"/>
    <w:rsid w:val="006C218B"/>
    <w:rsid w:val="006D022D"/>
    <w:rsid w:val="006E7FF3"/>
    <w:rsid w:val="00705CC2"/>
    <w:rsid w:val="007064B3"/>
    <w:rsid w:val="00716D12"/>
    <w:rsid w:val="00726D96"/>
    <w:rsid w:val="00740B10"/>
    <w:rsid w:val="007974A6"/>
    <w:rsid w:val="007D36E5"/>
    <w:rsid w:val="007E3CF3"/>
    <w:rsid w:val="0083648D"/>
    <w:rsid w:val="00842D20"/>
    <w:rsid w:val="008A3543"/>
    <w:rsid w:val="008C328C"/>
    <w:rsid w:val="008E46E6"/>
    <w:rsid w:val="008F6D1A"/>
    <w:rsid w:val="009168AC"/>
    <w:rsid w:val="00921456"/>
    <w:rsid w:val="0099680A"/>
    <w:rsid w:val="009A3CA3"/>
    <w:rsid w:val="009C173E"/>
    <w:rsid w:val="009D4293"/>
    <w:rsid w:val="009F6A0E"/>
    <w:rsid w:val="00A02EFB"/>
    <w:rsid w:val="00A25AB7"/>
    <w:rsid w:val="00A87E81"/>
    <w:rsid w:val="00A921F9"/>
    <w:rsid w:val="00AB675D"/>
    <w:rsid w:val="00AB6CB4"/>
    <w:rsid w:val="00AE3242"/>
    <w:rsid w:val="00AE3B87"/>
    <w:rsid w:val="00AE3E91"/>
    <w:rsid w:val="00AF5BC1"/>
    <w:rsid w:val="00B36497"/>
    <w:rsid w:val="00B649A8"/>
    <w:rsid w:val="00B74C43"/>
    <w:rsid w:val="00B964EC"/>
    <w:rsid w:val="00BB7719"/>
    <w:rsid w:val="00BD640A"/>
    <w:rsid w:val="00BE1D04"/>
    <w:rsid w:val="00BE7FA0"/>
    <w:rsid w:val="00C22284"/>
    <w:rsid w:val="00C442D6"/>
    <w:rsid w:val="00C77E3B"/>
    <w:rsid w:val="00D11C4E"/>
    <w:rsid w:val="00D30A22"/>
    <w:rsid w:val="00D354F5"/>
    <w:rsid w:val="00D9206E"/>
    <w:rsid w:val="00DA26F6"/>
    <w:rsid w:val="00DB2A5C"/>
    <w:rsid w:val="00DC5579"/>
    <w:rsid w:val="00DD0EF1"/>
    <w:rsid w:val="00DE4F94"/>
    <w:rsid w:val="00E27E34"/>
    <w:rsid w:val="00E72710"/>
    <w:rsid w:val="00E769E6"/>
    <w:rsid w:val="00E907C4"/>
    <w:rsid w:val="00E91A8D"/>
    <w:rsid w:val="00EB0E71"/>
    <w:rsid w:val="00EC7755"/>
    <w:rsid w:val="00F45ECB"/>
    <w:rsid w:val="00F93A74"/>
    <w:rsid w:val="00F948EF"/>
    <w:rsid w:val="00F974AD"/>
    <w:rsid w:val="00FB70E7"/>
    <w:rsid w:val="00FE3164"/>
    <w:rsid w:val="0F0808D8"/>
    <w:rsid w:val="1C3C0E9F"/>
    <w:rsid w:val="1F634A97"/>
    <w:rsid w:val="24CB5949"/>
    <w:rsid w:val="33001C07"/>
    <w:rsid w:val="501D257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2284"/>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rsid w:val="00C22284"/>
    <w:pPr>
      <w:tabs>
        <w:tab w:val="center" w:pos="4153"/>
        <w:tab w:val="right" w:pos="8306"/>
      </w:tabs>
      <w:snapToGrid w:val="0"/>
      <w:jc w:val="left"/>
    </w:pPr>
    <w:rPr>
      <w:sz w:val="18"/>
      <w:szCs w:val="18"/>
    </w:rPr>
  </w:style>
  <w:style w:type="paragraph" w:styleId="a4">
    <w:name w:val="header"/>
    <w:basedOn w:val="a"/>
    <w:link w:val="Char0"/>
    <w:uiPriority w:val="99"/>
    <w:semiHidden/>
    <w:unhideWhenUsed/>
    <w:qFormat/>
    <w:rsid w:val="00C22284"/>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C22284"/>
    <w:pPr>
      <w:widowControl/>
      <w:spacing w:before="100" w:beforeAutospacing="1" w:after="100" w:afterAutospacing="1"/>
      <w:jc w:val="left"/>
    </w:pPr>
    <w:rPr>
      <w:rFonts w:ascii="宋体" w:eastAsia="宋体" w:hAnsi="宋体" w:cs="宋体"/>
      <w:kern w:val="0"/>
      <w:sz w:val="24"/>
      <w:szCs w:val="24"/>
    </w:rPr>
  </w:style>
  <w:style w:type="character" w:customStyle="1" w:styleId="Char0">
    <w:name w:val="页眉 Char"/>
    <w:basedOn w:val="a0"/>
    <w:link w:val="a4"/>
    <w:uiPriority w:val="99"/>
    <w:semiHidden/>
    <w:rsid w:val="00C22284"/>
    <w:rPr>
      <w:sz w:val="18"/>
      <w:szCs w:val="18"/>
    </w:rPr>
  </w:style>
  <w:style w:type="character" w:customStyle="1" w:styleId="Char">
    <w:name w:val="页脚 Char"/>
    <w:basedOn w:val="a0"/>
    <w:link w:val="a3"/>
    <w:uiPriority w:val="99"/>
    <w:semiHidden/>
    <w:qFormat/>
    <w:rsid w:val="00C22284"/>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285</TotalTime>
  <Pages>18</Pages>
  <Words>1437</Words>
  <Characters>8191</Characters>
  <Application>Microsoft Office Word</Application>
  <DocSecurity>0</DocSecurity>
  <Lines>68</Lines>
  <Paragraphs>19</Paragraphs>
  <ScaleCrop>false</ScaleCrop>
  <Company>Microsoft</Company>
  <LinksUpToDate>false</LinksUpToDate>
  <CharactersWithSpaces>9609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Li</cp:lastModifiedBy>
  <cp:revision>64</cp:revision>
  <dcterms:created xsi:type="dcterms:W3CDTF">2023-01-30T01:51:00Z</dcterms:created>
  <dcterms:modified xsi:type="dcterms:W3CDTF">2025-02-11T06:19:00Z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