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D5B" w:rsidRDefault="00045D5B" w:rsidP="00045D5B">
      <w:pPr>
        <w:rPr>
          <w:rFonts w:ascii="黑体" w:eastAsia="黑体" w:hAnsi="黑体" w:cs="黑体"/>
          <w:bCs/>
          <w:szCs w:val="32"/>
        </w:rPr>
      </w:pPr>
    </w:p>
    <w:p w:rsidR="00045D5B" w:rsidRDefault="00045D5B" w:rsidP="00045D5B">
      <w:pPr>
        <w:jc w:val="center"/>
        <w:rPr>
          <w:rFonts w:ascii="宋体" w:hAnsi="宋体" w:hint="eastAsia"/>
          <w:b/>
          <w:sz w:val="36"/>
          <w:szCs w:val="36"/>
        </w:rPr>
      </w:pPr>
      <w:r>
        <w:rPr>
          <w:rFonts w:ascii="宋体" w:hAnsi="宋体" w:hint="eastAsia"/>
          <w:b/>
          <w:sz w:val="36"/>
          <w:szCs w:val="36"/>
        </w:rPr>
        <w:t>淮北市人事考试中心</w:t>
      </w:r>
      <w:r>
        <w:rPr>
          <w:rFonts w:ascii="宋体" w:hAnsi="宋体" w:hint="eastAsia"/>
          <w:b/>
          <w:sz w:val="36"/>
          <w:szCs w:val="36"/>
        </w:rPr>
        <w:t>2023</w:t>
      </w:r>
      <w:r>
        <w:rPr>
          <w:rFonts w:ascii="宋体" w:hAnsi="宋体"/>
          <w:b/>
          <w:sz w:val="36"/>
          <w:szCs w:val="36"/>
        </w:rPr>
        <w:t>年</w:t>
      </w:r>
      <w:r>
        <w:rPr>
          <w:rFonts w:ascii="宋体" w:hAnsi="宋体" w:hint="eastAsia"/>
          <w:b/>
          <w:sz w:val="36"/>
          <w:szCs w:val="36"/>
        </w:rPr>
        <w:t>度一般公共预算财政拨款</w:t>
      </w:r>
      <w:r>
        <w:rPr>
          <w:rFonts w:ascii="宋体" w:hAnsi="宋体"/>
          <w:b/>
          <w:sz w:val="36"/>
          <w:szCs w:val="36"/>
        </w:rPr>
        <w:t>“</w:t>
      </w:r>
      <w:r>
        <w:rPr>
          <w:rFonts w:ascii="宋体" w:hAnsi="宋体"/>
          <w:b/>
          <w:sz w:val="36"/>
          <w:szCs w:val="36"/>
        </w:rPr>
        <w:t>三公</w:t>
      </w:r>
      <w:r>
        <w:rPr>
          <w:rFonts w:ascii="宋体" w:hAnsi="宋体" w:hint="eastAsia"/>
          <w:b/>
          <w:sz w:val="36"/>
          <w:szCs w:val="36"/>
        </w:rPr>
        <w:t>”</w:t>
      </w:r>
      <w:r>
        <w:rPr>
          <w:rFonts w:ascii="宋体" w:hAnsi="宋体"/>
          <w:b/>
          <w:sz w:val="36"/>
          <w:szCs w:val="36"/>
        </w:rPr>
        <w:t>经费</w:t>
      </w:r>
      <w:r>
        <w:rPr>
          <w:rFonts w:ascii="宋体" w:hAnsi="宋体" w:hint="eastAsia"/>
          <w:b/>
          <w:sz w:val="36"/>
          <w:szCs w:val="36"/>
        </w:rPr>
        <w:t>支出决算</w:t>
      </w:r>
    </w:p>
    <w:p w:rsidR="00045D5B" w:rsidRDefault="00045D5B" w:rsidP="00045D5B">
      <w:pPr>
        <w:jc w:val="center"/>
        <w:rPr>
          <w:rFonts w:ascii="楷体_GB2312" w:eastAsia="楷体_GB2312" w:hint="eastAsia"/>
          <w:szCs w:val="32"/>
        </w:rPr>
      </w:pPr>
    </w:p>
    <w:p w:rsidR="00045D5B" w:rsidRDefault="00045D5B" w:rsidP="00045D5B">
      <w:pPr>
        <w:rPr>
          <w:rFonts w:ascii="黑体" w:eastAsia="黑体" w:hAnsi="黑体" w:hint="eastAsia"/>
          <w:szCs w:val="32"/>
        </w:rPr>
      </w:pPr>
      <w:r>
        <w:rPr>
          <w:rFonts w:ascii="黑体" w:eastAsia="黑体" w:hAnsi="黑体" w:hint="eastAsia"/>
          <w:szCs w:val="32"/>
        </w:rPr>
        <w:t xml:space="preserve">    一、2023年度一般公共预算财政拨款“三公”经费支出决算表</w:t>
      </w:r>
    </w:p>
    <w:p w:rsidR="00045D5B" w:rsidRDefault="00045D5B" w:rsidP="00045D5B">
      <w:pPr>
        <w:ind w:firstLineChars="2298" w:firstLine="7212"/>
        <w:rPr>
          <w:rFonts w:ascii="黑体" w:eastAsia="黑体" w:hAnsi="黑体" w:hint="eastAsia"/>
          <w:szCs w:val="32"/>
        </w:rPr>
      </w:pPr>
      <w:r>
        <w:rPr>
          <w:rFonts w:ascii="仿宋_GB2312" w:hAnsi="仿宋_GB2312" w:cs="仿宋_GB2312" w:hint="eastAsia"/>
          <w:szCs w:val="32"/>
        </w:rPr>
        <w:t>单位：万元</w:t>
      </w:r>
    </w:p>
    <w:tbl>
      <w:tblPr>
        <w:tblpPr w:leftFromText="180" w:rightFromText="180" w:vertAnchor="text" w:horzAnchor="margin" w:tblpY="454"/>
        <w:tblOverlap w:val="never"/>
        <w:tblW w:w="0" w:type="auto"/>
        <w:tblLayout w:type="fixed"/>
        <w:tblLook w:val="0000"/>
      </w:tblPr>
      <w:tblGrid>
        <w:gridCol w:w="4379"/>
        <w:gridCol w:w="2157"/>
        <w:gridCol w:w="2220"/>
      </w:tblGrid>
      <w:tr w:rsidR="00045D5B" w:rsidTr="00F728BD">
        <w:trPr>
          <w:trHeight w:val="397"/>
        </w:trPr>
        <w:tc>
          <w:tcPr>
            <w:tcW w:w="4379" w:type="dxa"/>
            <w:tcBorders>
              <w:top w:val="single" w:sz="4" w:space="0" w:color="auto"/>
              <w:left w:val="single" w:sz="4" w:space="0" w:color="auto"/>
              <w:bottom w:val="single" w:sz="4" w:space="0" w:color="auto"/>
              <w:right w:val="single" w:sz="4" w:space="0" w:color="auto"/>
            </w:tcBorders>
            <w:vAlign w:val="center"/>
          </w:tcPr>
          <w:p w:rsidR="00045D5B" w:rsidRDefault="00045D5B" w:rsidP="00F728BD">
            <w:pPr>
              <w:widowControl/>
              <w:jc w:val="center"/>
              <w:rPr>
                <w:rFonts w:ascii="宋体" w:hAnsi="宋体" w:cs="宋体"/>
                <w:b/>
                <w:bCs/>
                <w:kern w:val="0"/>
                <w:szCs w:val="21"/>
              </w:rPr>
            </w:pPr>
            <w:r>
              <w:rPr>
                <w:rFonts w:ascii="宋体" w:hAnsi="宋体" w:cs="宋体" w:hint="eastAsia"/>
                <w:b/>
                <w:bCs/>
                <w:kern w:val="0"/>
                <w:szCs w:val="21"/>
              </w:rPr>
              <w:t>项</w:t>
            </w:r>
            <w:r>
              <w:rPr>
                <w:rFonts w:ascii="宋体" w:hAnsi="宋体" w:cs="宋体" w:hint="eastAsia"/>
                <w:b/>
                <w:bCs/>
                <w:kern w:val="0"/>
                <w:szCs w:val="21"/>
              </w:rPr>
              <w:t xml:space="preserve">  </w:t>
            </w:r>
            <w:r>
              <w:rPr>
                <w:rFonts w:ascii="宋体" w:hAnsi="宋体" w:cs="宋体" w:hint="eastAsia"/>
                <w:b/>
                <w:bCs/>
                <w:kern w:val="0"/>
                <w:szCs w:val="21"/>
              </w:rPr>
              <w:t>目</w:t>
            </w:r>
          </w:p>
        </w:tc>
        <w:tc>
          <w:tcPr>
            <w:tcW w:w="2157" w:type="dxa"/>
            <w:tcBorders>
              <w:top w:val="single" w:sz="4" w:space="0" w:color="auto"/>
              <w:left w:val="nil"/>
              <w:bottom w:val="single" w:sz="4" w:space="0" w:color="auto"/>
              <w:right w:val="single" w:sz="4" w:space="0" w:color="auto"/>
            </w:tcBorders>
            <w:vAlign w:val="center"/>
          </w:tcPr>
          <w:p w:rsidR="00045D5B" w:rsidRDefault="00045D5B" w:rsidP="00F728BD">
            <w:pPr>
              <w:widowControl/>
              <w:jc w:val="center"/>
              <w:rPr>
                <w:rFonts w:ascii="宋体" w:hAnsi="宋体" w:cs="宋体"/>
                <w:b/>
                <w:bCs/>
                <w:kern w:val="0"/>
                <w:szCs w:val="21"/>
              </w:rPr>
            </w:pPr>
            <w:r>
              <w:rPr>
                <w:rFonts w:ascii="宋体" w:hAnsi="宋体" w:cs="宋体" w:hint="eastAsia"/>
                <w:b/>
                <w:bCs/>
                <w:kern w:val="0"/>
                <w:szCs w:val="21"/>
              </w:rPr>
              <w:t>预</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c>
          <w:tcPr>
            <w:tcW w:w="2220" w:type="dxa"/>
            <w:tcBorders>
              <w:top w:val="single" w:sz="4" w:space="0" w:color="auto"/>
              <w:left w:val="nil"/>
              <w:bottom w:val="single" w:sz="4" w:space="0" w:color="auto"/>
              <w:right w:val="single" w:sz="4" w:space="0" w:color="auto"/>
            </w:tcBorders>
            <w:vAlign w:val="center"/>
          </w:tcPr>
          <w:p w:rsidR="00045D5B" w:rsidRDefault="00045D5B" w:rsidP="00F728BD">
            <w:pPr>
              <w:widowControl/>
              <w:jc w:val="center"/>
              <w:rPr>
                <w:rFonts w:ascii="宋体" w:hAnsi="宋体" w:cs="宋体"/>
                <w:b/>
                <w:bCs/>
                <w:kern w:val="0"/>
                <w:szCs w:val="21"/>
              </w:rPr>
            </w:pPr>
            <w:r>
              <w:rPr>
                <w:rFonts w:ascii="宋体" w:hAnsi="宋体" w:cs="宋体" w:hint="eastAsia"/>
                <w:b/>
                <w:bCs/>
                <w:kern w:val="0"/>
                <w:szCs w:val="21"/>
              </w:rPr>
              <w:t>决</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r>
      <w:tr w:rsidR="00045D5B" w:rsidTr="00F728BD">
        <w:trPr>
          <w:trHeight w:val="397"/>
        </w:trPr>
        <w:tc>
          <w:tcPr>
            <w:tcW w:w="4379" w:type="dxa"/>
            <w:tcBorders>
              <w:top w:val="nil"/>
              <w:left w:val="single" w:sz="4" w:space="0" w:color="auto"/>
              <w:bottom w:val="single" w:sz="4" w:space="0" w:color="auto"/>
              <w:right w:val="single" w:sz="4" w:space="0" w:color="auto"/>
            </w:tcBorders>
            <w:vAlign w:val="center"/>
          </w:tcPr>
          <w:p w:rsidR="00045D5B" w:rsidRDefault="00045D5B" w:rsidP="00F728BD">
            <w:pPr>
              <w:widowControl/>
              <w:jc w:val="center"/>
              <w:rPr>
                <w:rFonts w:ascii="宋体" w:hAnsi="宋体" w:cs="宋体"/>
                <w:b/>
                <w:bCs/>
                <w:kern w:val="0"/>
                <w:szCs w:val="21"/>
              </w:rPr>
            </w:pPr>
            <w:r>
              <w:rPr>
                <w:rFonts w:ascii="宋体" w:hAnsi="宋体" w:cs="宋体" w:hint="eastAsia"/>
                <w:b/>
                <w:bCs/>
                <w:kern w:val="0"/>
                <w:szCs w:val="21"/>
              </w:rPr>
              <w:t>合</w:t>
            </w:r>
            <w:r>
              <w:rPr>
                <w:rFonts w:ascii="宋体" w:hAnsi="宋体" w:cs="宋体" w:hint="eastAsia"/>
                <w:b/>
                <w:bCs/>
                <w:kern w:val="0"/>
                <w:szCs w:val="21"/>
              </w:rPr>
              <w:t xml:space="preserve">  </w:t>
            </w:r>
            <w:r>
              <w:rPr>
                <w:rFonts w:ascii="宋体" w:hAnsi="宋体" w:cs="宋体" w:hint="eastAsia"/>
                <w:b/>
                <w:bCs/>
                <w:kern w:val="0"/>
                <w:szCs w:val="21"/>
              </w:rPr>
              <w:t>计</w:t>
            </w:r>
          </w:p>
        </w:tc>
        <w:tc>
          <w:tcPr>
            <w:tcW w:w="2157" w:type="dxa"/>
            <w:tcBorders>
              <w:top w:val="nil"/>
              <w:left w:val="nil"/>
              <w:bottom w:val="single" w:sz="4" w:space="0" w:color="auto"/>
              <w:right w:val="single" w:sz="4" w:space="0" w:color="auto"/>
            </w:tcBorders>
            <w:vAlign w:val="center"/>
          </w:tcPr>
          <w:p w:rsidR="00045D5B" w:rsidRDefault="00045D5B" w:rsidP="00F728BD">
            <w:pPr>
              <w:widowControl/>
              <w:jc w:val="center"/>
              <w:rPr>
                <w:rFonts w:ascii="宋体" w:hAnsi="宋体" w:cs="宋体"/>
                <w:b/>
                <w:bCs/>
                <w:kern w:val="0"/>
                <w:szCs w:val="21"/>
              </w:rPr>
            </w:pPr>
            <w:r>
              <w:rPr>
                <w:rFonts w:ascii="宋体" w:hAnsi="宋体" w:cs="宋体" w:hint="eastAsia"/>
                <w:b/>
                <w:bCs/>
                <w:kern w:val="0"/>
                <w:szCs w:val="21"/>
              </w:rPr>
              <w:t>4</w:t>
            </w:r>
          </w:p>
        </w:tc>
        <w:tc>
          <w:tcPr>
            <w:tcW w:w="2220" w:type="dxa"/>
            <w:tcBorders>
              <w:top w:val="nil"/>
              <w:left w:val="nil"/>
              <w:bottom w:val="single" w:sz="4" w:space="0" w:color="auto"/>
              <w:right w:val="single" w:sz="4" w:space="0" w:color="auto"/>
            </w:tcBorders>
            <w:vAlign w:val="center"/>
          </w:tcPr>
          <w:p w:rsidR="00045D5B" w:rsidRDefault="00045D5B" w:rsidP="00F728BD">
            <w:pPr>
              <w:widowControl/>
              <w:jc w:val="center"/>
              <w:rPr>
                <w:rFonts w:ascii="宋体" w:hAnsi="宋体" w:cs="宋体"/>
                <w:b/>
                <w:bCs/>
                <w:kern w:val="0"/>
                <w:szCs w:val="21"/>
              </w:rPr>
            </w:pPr>
            <w:r>
              <w:rPr>
                <w:rFonts w:ascii="宋体" w:hAnsi="宋体" w:cs="宋体" w:hint="eastAsia"/>
                <w:b/>
                <w:bCs/>
                <w:kern w:val="0"/>
                <w:szCs w:val="21"/>
              </w:rPr>
              <w:t>4</w:t>
            </w:r>
            <w:r>
              <w:rPr>
                <w:rFonts w:ascii="宋体" w:hAnsi="宋体" w:cs="宋体" w:hint="eastAsia"/>
                <w:b/>
                <w:bCs/>
                <w:kern w:val="0"/>
                <w:szCs w:val="21"/>
              </w:rPr>
              <w:t xml:space="preserve">　</w:t>
            </w:r>
          </w:p>
        </w:tc>
      </w:tr>
      <w:tr w:rsidR="00045D5B" w:rsidTr="00F728BD">
        <w:trPr>
          <w:trHeight w:val="397"/>
        </w:trPr>
        <w:tc>
          <w:tcPr>
            <w:tcW w:w="4379" w:type="dxa"/>
            <w:tcBorders>
              <w:top w:val="nil"/>
              <w:left w:val="single" w:sz="4" w:space="0" w:color="auto"/>
              <w:bottom w:val="single" w:sz="4" w:space="0" w:color="auto"/>
              <w:right w:val="single" w:sz="4" w:space="0" w:color="auto"/>
            </w:tcBorders>
            <w:vAlign w:val="center"/>
          </w:tcPr>
          <w:p w:rsidR="00045D5B" w:rsidRDefault="00045D5B" w:rsidP="00F728BD">
            <w:pPr>
              <w:widowControl/>
              <w:jc w:val="left"/>
              <w:rPr>
                <w:rFonts w:ascii="宋体" w:hAnsi="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vAlign w:val="bottom"/>
          </w:tcPr>
          <w:p w:rsidR="00045D5B" w:rsidRDefault="00045D5B" w:rsidP="00F728BD">
            <w:pPr>
              <w:widowControl/>
              <w:jc w:val="left"/>
              <w:rPr>
                <w:rFonts w:ascii="宋体" w:hAnsi="宋体" w:cs="宋体"/>
                <w:kern w:val="0"/>
                <w:szCs w:val="21"/>
              </w:rPr>
            </w:pPr>
            <w:r>
              <w:rPr>
                <w:rFonts w:ascii="宋体" w:hAnsi="宋体" w:cs="宋体" w:hint="eastAsia"/>
                <w:kern w:val="0"/>
                <w:szCs w:val="21"/>
              </w:rPr>
              <w:t xml:space="preserve">　</w:t>
            </w:r>
          </w:p>
        </w:tc>
        <w:tc>
          <w:tcPr>
            <w:tcW w:w="2220" w:type="dxa"/>
            <w:tcBorders>
              <w:top w:val="nil"/>
              <w:left w:val="nil"/>
              <w:bottom w:val="single" w:sz="4" w:space="0" w:color="auto"/>
              <w:right w:val="single" w:sz="4" w:space="0" w:color="auto"/>
            </w:tcBorders>
            <w:vAlign w:val="bottom"/>
          </w:tcPr>
          <w:p w:rsidR="00045D5B" w:rsidRDefault="00045D5B" w:rsidP="00F728BD">
            <w:pPr>
              <w:widowControl/>
              <w:jc w:val="left"/>
              <w:rPr>
                <w:rFonts w:ascii="宋体" w:hAnsi="宋体" w:cs="宋体"/>
                <w:kern w:val="0"/>
                <w:szCs w:val="21"/>
              </w:rPr>
            </w:pPr>
            <w:r>
              <w:rPr>
                <w:rFonts w:ascii="宋体" w:hAnsi="宋体" w:cs="宋体" w:hint="eastAsia"/>
                <w:kern w:val="0"/>
                <w:szCs w:val="21"/>
              </w:rPr>
              <w:t xml:space="preserve">　</w:t>
            </w:r>
          </w:p>
        </w:tc>
      </w:tr>
      <w:tr w:rsidR="00045D5B" w:rsidTr="00F728BD">
        <w:trPr>
          <w:trHeight w:val="397"/>
        </w:trPr>
        <w:tc>
          <w:tcPr>
            <w:tcW w:w="4379" w:type="dxa"/>
            <w:tcBorders>
              <w:top w:val="nil"/>
              <w:left w:val="single" w:sz="4" w:space="0" w:color="auto"/>
              <w:bottom w:val="single" w:sz="4" w:space="0" w:color="auto"/>
              <w:right w:val="single" w:sz="4" w:space="0" w:color="auto"/>
            </w:tcBorders>
            <w:vAlign w:val="center"/>
          </w:tcPr>
          <w:p w:rsidR="00045D5B" w:rsidRDefault="00045D5B" w:rsidP="00F728BD">
            <w:pPr>
              <w:widowControl/>
              <w:jc w:val="left"/>
              <w:rPr>
                <w:rFonts w:ascii="宋体" w:hAnsi="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vAlign w:val="bottom"/>
          </w:tcPr>
          <w:p w:rsidR="00045D5B" w:rsidRDefault="00045D5B" w:rsidP="00F728BD">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1.5</w:t>
            </w:r>
          </w:p>
        </w:tc>
        <w:tc>
          <w:tcPr>
            <w:tcW w:w="2220" w:type="dxa"/>
            <w:tcBorders>
              <w:top w:val="nil"/>
              <w:left w:val="nil"/>
              <w:bottom w:val="single" w:sz="4" w:space="0" w:color="auto"/>
              <w:right w:val="single" w:sz="4" w:space="0" w:color="auto"/>
            </w:tcBorders>
            <w:vAlign w:val="bottom"/>
          </w:tcPr>
          <w:p w:rsidR="00045D5B" w:rsidRDefault="00045D5B" w:rsidP="00F728BD">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1.5</w:t>
            </w:r>
          </w:p>
        </w:tc>
      </w:tr>
      <w:tr w:rsidR="00045D5B" w:rsidTr="00F728BD">
        <w:trPr>
          <w:trHeight w:val="397"/>
        </w:trPr>
        <w:tc>
          <w:tcPr>
            <w:tcW w:w="4379" w:type="dxa"/>
            <w:tcBorders>
              <w:top w:val="nil"/>
              <w:left w:val="single" w:sz="4" w:space="0" w:color="auto"/>
              <w:bottom w:val="single" w:sz="4" w:space="0" w:color="auto"/>
              <w:right w:val="single" w:sz="4" w:space="0" w:color="auto"/>
            </w:tcBorders>
            <w:vAlign w:val="center"/>
          </w:tcPr>
          <w:p w:rsidR="00045D5B" w:rsidRDefault="00045D5B" w:rsidP="00F728BD">
            <w:pPr>
              <w:widowControl/>
              <w:jc w:val="left"/>
              <w:rPr>
                <w:rFonts w:ascii="宋体" w:hAnsi="宋体" w:cs="宋体"/>
                <w:kern w:val="0"/>
                <w:szCs w:val="21"/>
              </w:rPr>
            </w:pPr>
            <w:r>
              <w:rPr>
                <w:rFonts w:ascii="宋体" w:hAnsi="宋体" w:cs="宋体" w:hint="eastAsia"/>
                <w:kern w:val="0"/>
                <w:szCs w:val="21"/>
              </w:rPr>
              <w:t>公务用车购置及运行维护费</w:t>
            </w:r>
          </w:p>
        </w:tc>
        <w:tc>
          <w:tcPr>
            <w:tcW w:w="2157" w:type="dxa"/>
            <w:tcBorders>
              <w:top w:val="nil"/>
              <w:left w:val="nil"/>
              <w:bottom w:val="single" w:sz="4" w:space="0" w:color="auto"/>
              <w:right w:val="single" w:sz="4" w:space="0" w:color="auto"/>
            </w:tcBorders>
            <w:vAlign w:val="bottom"/>
          </w:tcPr>
          <w:p w:rsidR="00045D5B" w:rsidRDefault="00045D5B" w:rsidP="00F728BD">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2.5</w:t>
            </w:r>
          </w:p>
        </w:tc>
        <w:tc>
          <w:tcPr>
            <w:tcW w:w="2220" w:type="dxa"/>
            <w:tcBorders>
              <w:top w:val="nil"/>
              <w:left w:val="nil"/>
              <w:bottom w:val="single" w:sz="4" w:space="0" w:color="auto"/>
              <w:right w:val="single" w:sz="4" w:space="0" w:color="auto"/>
            </w:tcBorders>
            <w:vAlign w:val="bottom"/>
          </w:tcPr>
          <w:p w:rsidR="00045D5B" w:rsidRDefault="00045D5B" w:rsidP="00F728BD">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2.5</w:t>
            </w:r>
          </w:p>
        </w:tc>
      </w:tr>
      <w:tr w:rsidR="00045D5B" w:rsidTr="00F728BD">
        <w:trPr>
          <w:trHeight w:val="397"/>
        </w:trPr>
        <w:tc>
          <w:tcPr>
            <w:tcW w:w="4379" w:type="dxa"/>
            <w:tcBorders>
              <w:top w:val="nil"/>
              <w:left w:val="single" w:sz="4" w:space="0" w:color="auto"/>
              <w:bottom w:val="single" w:sz="4" w:space="0" w:color="auto"/>
              <w:right w:val="single" w:sz="4" w:space="0" w:color="auto"/>
            </w:tcBorders>
            <w:vAlign w:val="center"/>
          </w:tcPr>
          <w:p w:rsidR="00045D5B" w:rsidRDefault="00045D5B" w:rsidP="00F728BD">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其中：公务用车购置费</w:t>
            </w:r>
          </w:p>
        </w:tc>
        <w:tc>
          <w:tcPr>
            <w:tcW w:w="2157" w:type="dxa"/>
            <w:tcBorders>
              <w:top w:val="nil"/>
              <w:left w:val="nil"/>
              <w:bottom w:val="single" w:sz="4" w:space="0" w:color="auto"/>
              <w:right w:val="single" w:sz="4" w:space="0" w:color="auto"/>
            </w:tcBorders>
            <w:vAlign w:val="bottom"/>
          </w:tcPr>
          <w:p w:rsidR="00045D5B" w:rsidRDefault="00045D5B" w:rsidP="00F728BD">
            <w:pPr>
              <w:widowControl/>
              <w:jc w:val="left"/>
              <w:rPr>
                <w:rFonts w:ascii="宋体" w:hAnsi="宋体" w:cs="宋体"/>
                <w:kern w:val="0"/>
                <w:szCs w:val="21"/>
              </w:rPr>
            </w:pPr>
            <w:r>
              <w:rPr>
                <w:rFonts w:ascii="宋体" w:hAnsi="宋体" w:cs="宋体" w:hint="eastAsia"/>
                <w:kern w:val="0"/>
                <w:szCs w:val="21"/>
              </w:rPr>
              <w:t xml:space="preserve">　</w:t>
            </w:r>
          </w:p>
        </w:tc>
        <w:tc>
          <w:tcPr>
            <w:tcW w:w="2220" w:type="dxa"/>
            <w:tcBorders>
              <w:top w:val="nil"/>
              <w:left w:val="nil"/>
              <w:bottom w:val="single" w:sz="4" w:space="0" w:color="auto"/>
              <w:right w:val="single" w:sz="4" w:space="0" w:color="auto"/>
            </w:tcBorders>
            <w:vAlign w:val="bottom"/>
          </w:tcPr>
          <w:p w:rsidR="00045D5B" w:rsidRDefault="00045D5B" w:rsidP="00F728BD">
            <w:pPr>
              <w:widowControl/>
              <w:jc w:val="left"/>
              <w:rPr>
                <w:rFonts w:ascii="宋体" w:hAnsi="宋体" w:cs="宋体"/>
                <w:kern w:val="0"/>
                <w:szCs w:val="21"/>
              </w:rPr>
            </w:pPr>
            <w:r>
              <w:rPr>
                <w:rFonts w:ascii="宋体" w:hAnsi="宋体" w:cs="宋体" w:hint="eastAsia"/>
                <w:kern w:val="0"/>
                <w:szCs w:val="21"/>
              </w:rPr>
              <w:t xml:space="preserve">　</w:t>
            </w:r>
          </w:p>
        </w:tc>
      </w:tr>
      <w:tr w:rsidR="00045D5B" w:rsidTr="00F728BD">
        <w:trPr>
          <w:trHeight w:val="397"/>
        </w:trPr>
        <w:tc>
          <w:tcPr>
            <w:tcW w:w="4379" w:type="dxa"/>
            <w:tcBorders>
              <w:top w:val="nil"/>
              <w:left w:val="single" w:sz="4" w:space="0" w:color="auto"/>
              <w:bottom w:val="single" w:sz="4" w:space="0" w:color="auto"/>
              <w:right w:val="single" w:sz="4" w:space="0" w:color="auto"/>
            </w:tcBorders>
            <w:vAlign w:val="center"/>
          </w:tcPr>
          <w:p w:rsidR="00045D5B" w:rsidRDefault="00045D5B" w:rsidP="00F728BD">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公务用车运行维护费</w:t>
            </w:r>
            <w:r>
              <w:rPr>
                <w:rFonts w:ascii="宋体" w:hAnsi="宋体" w:cs="宋体" w:hint="eastAsia"/>
                <w:kern w:val="0"/>
                <w:szCs w:val="21"/>
              </w:rPr>
              <w:t xml:space="preserve"> </w:t>
            </w:r>
          </w:p>
        </w:tc>
        <w:tc>
          <w:tcPr>
            <w:tcW w:w="2157" w:type="dxa"/>
            <w:tcBorders>
              <w:top w:val="nil"/>
              <w:left w:val="nil"/>
              <w:bottom w:val="single" w:sz="4" w:space="0" w:color="auto"/>
              <w:right w:val="single" w:sz="4" w:space="0" w:color="auto"/>
            </w:tcBorders>
            <w:vAlign w:val="bottom"/>
          </w:tcPr>
          <w:p w:rsidR="00045D5B" w:rsidRDefault="00045D5B" w:rsidP="00F728BD">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2.5</w:t>
            </w:r>
          </w:p>
        </w:tc>
        <w:tc>
          <w:tcPr>
            <w:tcW w:w="2220" w:type="dxa"/>
            <w:tcBorders>
              <w:top w:val="nil"/>
              <w:left w:val="nil"/>
              <w:bottom w:val="single" w:sz="4" w:space="0" w:color="auto"/>
              <w:right w:val="single" w:sz="4" w:space="0" w:color="auto"/>
            </w:tcBorders>
            <w:vAlign w:val="bottom"/>
          </w:tcPr>
          <w:p w:rsidR="00045D5B" w:rsidRDefault="00045D5B" w:rsidP="00F728BD">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2.5</w:t>
            </w:r>
          </w:p>
        </w:tc>
      </w:tr>
    </w:tbl>
    <w:p w:rsidR="00045D5B" w:rsidRDefault="00045D5B" w:rsidP="00045D5B">
      <w:pPr>
        <w:spacing w:line="300" w:lineRule="exact"/>
        <w:rPr>
          <w:rFonts w:ascii="仿宋_GB2312" w:hAnsi="仿宋" w:hint="eastAsia"/>
          <w:sz w:val="21"/>
          <w:szCs w:val="21"/>
        </w:rPr>
      </w:pPr>
    </w:p>
    <w:p w:rsidR="00045D5B" w:rsidRDefault="00045D5B" w:rsidP="00045D5B">
      <w:pPr>
        <w:spacing w:line="300" w:lineRule="exact"/>
        <w:rPr>
          <w:rFonts w:ascii="黑体" w:eastAsia="黑体" w:hAnsi="黑体" w:hint="eastAsia"/>
          <w:szCs w:val="32"/>
        </w:rPr>
      </w:pPr>
      <w:r>
        <w:rPr>
          <w:rFonts w:ascii="仿宋_GB2312" w:hAnsi="仿宋" w:hint="eastAsia"/>
          <w:sz w:val="21"/>
          <w:szCs w:val="21"/>
        </w:rPr>
        <w:t>注：本表反映单位本年度一般公共预算财政拨款“三公”经费支出预决算情况。其中，预算数为“三公”经费全年预算数，</w:t>
      </w:r>
      <w:bookmarkStart w:id="0" w:name="OLE_LINK4"/>
      <w:r>
        <w:rPr>
          <w:rFonts w:ascii="仿宋_GB2312" w:hAnsi="仿宋" w:hint="eastAsia"/>
          <w:sz w:val="21"/>
          <w:szCs w:val="21"/>
        </w:rPr>
        <w:t>反映按规定程序调整后的预算数</w:t>
      </w:r>
      <w:bookmarkEnd w:id="0"/>
      <w:r>
        <w:rPr>
          <w:rFonts w:ascii="仿宋_GB2312" w:hAnsi="仿宋" w:hint="eastAsia"/>
          <w:sz w:val="21"/>
          <w:szCs w:val="21"/>
        </w:rPr>
        <w:t xml:space="preserve">;决算数是包括当年一般公共预算财政拨款和以前年度结转资金安排的实际支出。 </w:t>
      </w:r>
      <w:r>
        <w:rPr>
          <w:rFonts w:ascii="仿宋_GB2312" w:hAnsi="仿宋" w:hint="eastAsia"/>
          <w:szCs w:val="32"/>
        </w:rPr>
        <w:t xml:space="preserve">  </w:t>
      </w:r>
      <w:r>
        <w:rPr>
          <w:rFonts w:ascii="黑体" w:eastAsia="黑体" w:hAnsi="黑体" w:hint="eastAsia"/>
          <w:szCs w:val="32"/>
        </w:rPr>
        <w:t xml:space="preserve">                                    </w:t>
      </w:r>
    </w:p>
    <w:p w:rsidR="00045D5B" w:rsidRDefault="00045D5B" w:rsidP="00045D5B">
      <w:pPr>
        <w:rPr>
          <w:rFonts w:ascii="黑体" w:eastAsia="黑体" w:hAnsi="黑体" w:hint="eastAsia"/>
          <w:szCs w:val="32"/>
        </w:rPr>
      </w:pPr>
      <w:r>
        <w:rPr>
          <w:rFonts w:ascii="黑体" w:eastAsia="黑体" w:hAnsi="黑体"/>
          <w:szCs w:val="32"/>
        </w:rPr>
        <w:t xml:space="preserve">    </w:t>
      </w:r>
      <w:r>
        <w:rPr>
          <w:rFonts w:ascii="黑体" w:eastAsia="黑体" w:hAnsi="黑体" w:hint="eastAsia"/>
          <w:szCs w:val="32"/>
        </w:rPr>
        <w:t>二</w:t>
      </w:r>
      <w:r>
        <w:rPr>
          <w:rFonts w:ascii="黑体" w:eastAsia="黑体" w:hAnsi="黑体"/>
          <w:szCs w:val="32"/>
        </w:rPr>
        <w:t>、</w:t>
      </w:r>
      <w:r>
        <w:rPr>
          <w:rFonts w:ascii="黑体" w:eastAsia="黑体" w:hAnsi="黑体" w:hint="eastAsia"/>
          <w:szCs w:val="32"/>
        </w:rPr>
        <w:t>2023</w:t>
      </w:r>
      <w:r>
        <w:rPr>
          <w:rFonts w:ascii="黑体" w:eastAsia="黑体" w:hAnsi="黑体"/>
          <w:szCs w:val="32"/>
        </w:rPr>
        <w:t>年</w:t>
      </w:r>
      <w:r>
        <w:rPr>
          <w:rFonts w:ascii="黑体" w:eastAsia="黑体" w:hAnsi="黑体" w:hint="eastAsia"/>
          <w:szCs w:val="32"/>
        </w:rPr>
        <w:t>度一般公共预算财政拨款“三公”经费支出</w:t>
      </w:r>
      <w:r>
        <w:rPr>
          <w:rFonts w:ascii="黑体" w:eastAsia="黑体" w:hAnsi="黑体"/>
          <w:szCs w:val="32"/>
        </w:rPr>
        <w:t>情况说明</w:t>
      </w:r>
    </w:p>
    <w:p w:rsidR="00045D5B" w:rsidRDefault="00045D5B" w:rsidP="00045D5B">
      <w:pPr>
        <w:ind w:firstLineChars="200" w:firstLine="630"/>
        <w:rPr>
          <w:rFonts w:ascii="仿宋_GB2312" w:hAnsi="仿宋" w:hint="eastAsia"/>
          <w:b/>
          <w:szCs w:val="32"/>
        </w:rPr>
      </w:pPr>
      <w:r>
        <w:rPr>
          <w:rFonts w:ascii="仿宋_GB2312" w:hAnsi="仿宋" w:hint="eastAsia"/>
          <w:b/>
          <w:szCs w:val="32"/>
        </w:rPr>
        <w:t>（一）一般公共预算财政拨款“三公”经费支出决算总体情况说明。</w:t>
      </w:r>
    </w:p>
    <w:p w:rsidR="00045D5B" w:rsidRDefault="00045D5B" w:rsidP="00045D5B">
      <w:pPr>
        <w:ind w:firstLineChars="200" w:firstLine="628"/>
        <w:rPr>
          <w:rFonts w:ascii="楷体_GB2312" w:eastAsia="楷体_GB2312" w:hAnsi="仿宋" w:hint="eastAsia"/>
          <w:szCs w:val="32"/>
        </w:rPr>
      </w:pPr>
      <w:r>
        <w:rPr>
          <w:rFonts w:ascii="仿宋_GB2312" w:hAnsi="仿宋" w:hint="eastAsia"/>
          <w:szCs w:val="32"/>
        </w:rPr>
        <w:t>淮北市人事考试中心2023年度一般公共预算财政拨款“三</w:t>
      </w:r>
      <w:r>
        <w:rPr>
          <w:rFonts w:ascii="仿宋_GB2312" w:hAnsi="仿宋" w:hint="eastAsia"/>
          <w:szCs w:val="32"/>
        </w:rPr>
        <w:lastRenderedPageBreak/>
        <w:t>公”经费支出预算为4万元，支出决算为4万元，完成预算的100%，较上年增加1.35万元，增长50.94%。决算与预算数相同的主要原因是</w:t>
      </w:r>
      <w:bookmarkStart w:id="1" w:name="OLE_LINK5"/>
      <w:bookmarkStart w:id="2" w:name="OLE_LINK12"/>
      <w:bookmarkStart w:id="3" w:name="OLE_LINK13"/>
      <w:r>
        <w:rPr>
          <w:rFonts w:ascii="仿宋_GB2312" w:hAnsi="仿宋" w:hint="eastAsia"/>
          <w:szCs w:val="32"/>
        </w:rPr>
        <w:t>厉行节约，对公车运行维护费用支出严格</w:t>
      </w:r>
      <w:bookmarkEnd w:id="1"/>
      <w:r>
        <w:rPr>
          <w:rFonts w:ascii="仿宋_GB2312" w:hAnsi="仿宋" w:hint="eastAsia"/>
          <w:szCs w:val="32"/>
        </w:rPr>
        <w:t>审批</w:t>
      </w:r>
      <w:bookmarkEnd w:id="2"/>
      <w:bookmarkEnd w:id="3"/>
      <w:r>
        <w:rPr>
          <w:rFonts w:ascii="仿宋_GB2312" w:hAnsi="仿宋" w:hint="eastAsia"/>
          <w:szCs w:val="32"/>
        </w:rPr>
        <w:t>，调整了年初预算数。决算数较上年增加的主要原因是</w:t>
      </w:r>
      <w:bookmarkStart w:id="4" w:name="OLE_LINK16"/>
      <w:bookmarkStart w:id="5" w:name="OLE_LINK28"/>
      <w:r>
        <w:rPr>
          <w:rFonts w:ascii="仿宋_GB2312" w:hAnsi="仿宋" w:hint="eastAsia"/>
          <w:szCs w:val="32"/>
        </w:rPr>
        <w:t>2022年全市人事考试工作受新冠疫情影响较大，公车全年基本无外出，发生车辆运</w:t>
      </w:r>
      <w:proofErr w:type="gramStart"/>
      <w:r>
        <w:rPr>
          <w:rFonts w:ascii="仿宋_GB2312" w:hAnsi="仿宋" w:hint="eastAsia"/>
          <w:szCs w:val="32"/>
        </w:rPr>
        <w:t>维费用</w:t>
      </w:r>
      <w:proofErr w:type="gramEnd"/>
      <w:r>
        <w:rPr>
          <w:rFonts w:ascii="仿宋_GB2312" w:hAnsi="仿宋" w:hint="eastAsia"/>
          <w:szCs w:val="32"/>
        </w:rPr>
        <w:t>较少。</w:t>
      </w:r>
      <w:bookmarkEnd w:id="4"/>
      <w:bookmarkEnd w:id="5"/>
    </w:p>
    <w:p w:rsidR="00045D5B" w:rsidRDefault="00045D5B" w:rsidP="00045D5B">
      <w:pPr>
        <w:ind w:firstLineChars="200" w:firstLine="630"/>
        <w:rPr>
          <w:rFonts w:ascii="仿宋_GB2312" w:hAnsi="仿宋" w:hint="eastAsia"/>
          <w:b/>
          <w:szCs w:val="32"/>
        </w:rPr>
      </w:pPr>
      <w:r>
        <w:rPr>
          <w:rFonts w:ascii="仿宋_GB2312" w:hAnsi="仿宋" w:hint="eastAsia"/>
          <w:b/>
          <w:bCs/>
          <w:szCs w:val="32"/>
        </w:rPr>
        <w:t>（二）</w:t>
      </w:r>
      <w:r>
        <w:rPr>
          <w:rFonts w:ascii="仿宋_GB2312" w:hAnsi="仿宋" w:hint="eastAsia"/>
          <w:b/>
          <w:szCs w:val="32"/>
        </w:rPr>
        <w:t>一般公共预算财政拨款“三公”经费支出决算具体情况说明。</w:t>
      </w:r>
    </w:p>
    <w:p w:rsidR="00045D5B" w:rsidRDefault="00045D5B" w:rsidP="00045D5B">
      <w:pPr>
        <w:ind w:firstLineChars="200" w:firstLine="628"/>
        <w:rPr>
          <w:rFonts w:ascii="仿宋_GB2312" w:hAnsi="仿宋" w:hint="eastAsia"/>
          <w:szCs w:val="32"/>
        </w:rPr>
      </w:pPr>
      <w:r>
        <w:rPr>
          <w:rFonts w:ascii="仿宋_GB2312" w:hAnsi="仿宋" w:hint="eastAsia"/>
          <w:szCs w:val="32"/>
        </w:rPr>
        <w:t>淮北市人事考试中心2023年度一般公共预算财政拨款“三公”经费支出决算中，因公出国（境）费支出决算0万元，占0%;公务接待费支出决算1.5万元，占37.5%；公务用车购置及运行维护费支出决算2.5万元，占62.5%。具体情况如下：</w:t>
      </w:r>
    </w:p>
    <w:p w:rsidR="00045D5B" w:rsidRDefault="00045D5B" w:rsidP="00045D5B">
      <w:pPr>
        <w:ind w:firstLine="628"/>
        <w:rPr>
          <w:rFonts w:ascii="仿宋_GB2312" w:hAnsi="仿宋" w:hint="eastAsia"/>
          <w:szCs w:val="32"/>
        </w:rPr>
      </w:pPr>
      <w:r>
        <w:rPr>
          <w:rFonts w:ascii="仿宋_GB2312" w:hAnsi="仿宋" w:hint="eastAsia"/>
          <w:b/>
          <w:bCs/>
          <w:szCs w:val="32"/>
        </w:rPr>
        <w:t>1.因公出国（境）费</w:t>
      </w:r>
      <w:r>
        <w:rPr>
          <w:rFonts w:ascii="仿宋_GB2312" w:hAnsi="仿宋" w:hint="eastAsia"/>
          <w:szCs w:val="32"/>
        </w:rPr>
        <w:t>预算为0万元，支出决算为0万元，完成预算的100%，</w:t>
      </w:r>
      <w:bookmarkStart w:id="6" w:name="OLE_LINK29"/>
      <w:bookmarkStart w:id="7" w:name="OLE_LINK30"/>
      <w:r>
        <w:rPr>
          <w:rFonts w:ascii="仿宋_GB2312" w:hAnsi="仿宋" w:hint="eastAsia"/>
          <w:szCs w:val="32"/>
        </w:rPr>
        <w:t>决算数与预算数相同；</w:t>
      </w:r>
      <w:bookmarkEnd w:id="6"/>
      <w:bookmarkEnd w:id="7"/>
      <w:r>
        <w:rPr>
          <w:rFonts w:ascii="仿宋_GB2312" w:hAnsi="仿宋" w:hint="eastAsia"/>
          <w:szCs w:val="32"/>
        </w:rPr>
        <w:t>较上年减少0万元，下降0%。</w:t>
      </w:r>
      <w:bookmarkStart w:id="8" w:name="OLE_LINK31"/>
      <w:bookmarkStart w:id="9" w:name="OLE_LINK32"/>
      <w:r w:rsidRPr="00F43CD1">
        <w:rPr>
          <w:rFonts w:ascii="仿宋_GB2312" w:hAnsi="仿宋" w:hint="eastAsia"/>
          <w:szCs w:val="32"/>
        </w:rPr>
        <w:t>原因是202</w:t>
      </w:r>
      <w:r w:rsidRPr="00F43CD1">
        <w:rPr>
          <w:rFonts w:ascii="仿宋_GB2312" w:hAnsi="仿宋"/>
          <w:szCs w:val="32"/>
        </w:rPr>
        <w:t>2</w:t>
      </w:r>
      <w:r w:rsidRPr="00F43CD1">
        <w:rPr>
          <w:rFonts w:ascii="仿宋_GB2312" w:hAnsi="仿宋" w:hint="eastAsia"/>
          <w:szCs w:val="32"/>
        </w:rPr>
        <w:t>年度、202</w:t>
      </w:r>
      <w:r w:rsidRPr="00F43CD1">
        <w:rPr>
          <w:rFonts w:ascii="仿宋_GB2312" w:hAnsi="仿宋"/>
          <w:szCs w:val="32"/>
        </w:rPr>
        <w:t>3</w:t>
      </w:r>
      <w:r w:rsidRPr="00F43CD1">
        <w:rPr>
          <w:rFonts w:ascii="仿宋_GB2312" w:hAnsi="仿宋" w:hint="eastAsia"/>
          <w:szCs w:val="32"/>
        </w:rPr>
        <w:t>年度均未安排</w:t>
      </w:r>
      <w:bookmarkEnd w:id="8"/>
      <w:bookmarkEnd w:id="9"/>
      <w:r w:rsidRPr="00F43CD1">
        <w:rPr>
          <w:rFonts w:ascii="仿宋_GB2312" w:hAnsi="仿宋" w:hint="eastAsia"/>
          <w:szCs w:val="32"/>
        </w:rPr>
        <w:t>因公出国（境）计划。</w:t>
      </w:r>
      <w:r>
        <w:rPr>
          <w:rFonts w:ascii="仿宋_GB2312" w:hAnsi="仿宋" w:hint="eastAsia"/>
          <w:szCs w:val="32"/>
        </w:rPr>
        <w:t>故2023年淮北市人事考试中心因公出国（境）团组0次，累计出国（境）0人次。</w:t>
      </w:r>
    </w:p>
    <w:p w:rsidR="00045D5B" w:rsidRDefault="00045D5B" w:rsidP="00045D5B">
      <w:pPr>
        <w:ind w:firstLineChars="200" w:firstLine="630"/>
        <w:rPr>
          <w:rFonts w:ascii="仿宋_GB2312" w:hAnsi="仿宋" w:hint="eastAsia"/>
          <w:szCs w:val="32"/>
        </w:rPr>
      </w:pPr>
      <w:r>
        <w:rPr>
          <w:rFonts w:ascii="仿宋_GB2312" w:hAnsi="仿宋" w:hint="eastAsia"/>
          <w:b/>
          <w:bCs/>
          <w:szCs w:val="32"/>
        </w:rPr>
        <w:t>2.公务接待费</w:t>
      </w:r>
      <w:r>
        <w:rPr>
          <w:rFonts w:ascii="仿宋_GB2312" w:hAnsi="仿宋" w:hint="eastAsia"/>
          <w:szCs w:val="32"/>
        </w:rPr>
        <w:t>预算为1.5万元，支出决算为1.5万元，完成预算的100%；较上年增加0万元，增长0%。决算数与预算数和上年决算数相同的主要原因是厉行节约，加强审批，严格控制公务接待费增长。2023年淮北市人事考试中心国内公务接待共12批次（其中外事接待0批次），98人次（其中外事接待0人次）。主</w:t>
      </w:r>
      <w:r>
        <w:rPr>
          <w:rFonts w:ascii="仿宋_GB2312" w:hAnsi="仿宋" w:hint="eastAsia"/>
          <w:szCs w:val="32"/>
        </w:rPr>
        <w:lastRenderedPageBreak/>
        <w:t>要是用于考试考</w:t>
      </w:r>
      <w:proofErr w:type="gramStart"/>
      <w:r>
        <w:rPr>
          <w:rFonts w:ascii="仿宋_GB2312" w:hAnsi="仿宋" w:hint="eastAsia"/>
          <w:szCs w:val="32"/>
        </w:rPr>
        <w:t>务</w:t>
      </w:r>
      <w:proofErr w:type="gramEnd"/>
      <w:r>
        <w:rPr>
          <w:rFonts w:ascii="仿宋_GB2312" w:hAnsi="仿宋" w:hint="eastAsia"/>
          <w:szCs w:val="32"/>
        </w:rPr>
        <w:t>加班就餐，接待外地考官及上级部门巡考。经费使用贯彻中央八项规定精神和省委实</w:t>
      </w:r>
      <w:r>
        <w:rPr>
          <w:rFonts w:ascii="仿宋_GB2312" w:hAnsi="宋体" w:cs="宋体" w:hint="eastAsia"/>
          <w:color w:val="282828"/>
          <w:kern w:val="0"/>
          <w:szCs w:val="32"/>
        </w:rPr>
        <w:t>施细则</w:t>
      </w:r>
      <w:r>
        <w:rPr>
          <w:rFonts w:ascii="仿宋_GB2312" w:hAnsi="仿宋" w:hint="eastAsia"/>
          <w:szCs w:val="32"/>
        </w:rPr>
        <w:t>，严格执行《党政机关厉行节约反对浪费条例》、《关于印发&lt;淮北市市直单位接待经费管理暂行办法&gt;的通知》（</w:t>
      </w:r>
      <w:proofErr w:type="gramStart"/>
      <w:r>
        <w:rPr>
          <w:rFonts w:ascii="仿宋_GB2312" w:hAnsi="仿宋" w:hint="eastAsia"/>
          <w:szCs w:val="32"/>
        </w:rPr>
        <w:t>财行〔2013〕</w:t>
      </w:r>
      <w:proofErr w:type="gramEnd"/>
      <w:r>
        <w:rPr>
          <w:rFonts w:ascii="仿宋_GB2312" w:hAnsi="仿宋" w:hint="eastAsia"/>
          <w:szCs w:val="32"/>
        </w:rPr>
        <w:t>133号）、《淮北市财政局淮北市机关事务管理中心关于调整市直机关公务接待费用餐标准的通知》（</w:t>
      </w:r>
      <w:proofErr w:type="gramStart"/>
      <w:r>
        <w:rPr>
          <w:rFonts w:ascii="仿宋_GB2312" w:hAnsi="仿宋" w:hint="eastAsia"/>
          <w:szCs w:val="32"/>
        </w:rPr>
        <w:t>财行〔2021〕</w:t>
      </w:r>
      <w:proofErr w:type="gramEnd"/>
      <w:r>
        <w:rPr>
          <w:rFonts w:ascii="仿宋_GB2312" w:hAnsi="仿宋" w:hint="eastAsia"/>
          <w:szCs w:val="32"/>
        </w:rPr>
        <w:t>85号）等相关规定。</w:t>
      </w:r>
    </w:p>
    <w:p w:rsidR="00045D5B" w:rsidRDefault="00045D5B" w:rsidP="00045D5B">
      <w:pPr>
        <w:ind w:firstLineChars="200" w:firstLine="630"/>
        <w:rPr>
          <w:rFonts w:ascii="仿宋_GB2312" w:hint="eastAsia"/>
        </w:rPr>
      </w:pPr>
      <w:r>
        <w:rPr>
          <w:rFonts w:ascii="仿宋_GB2312" w:hAnsi="仿宋" w:hint="eastAsia"/>
          <w:b/>
          <w:bCs/>
          <w:szCs w:val="32"/>
        </w:rPr>
        <w:t>3.公务用车购置及运行维护费</w:t>
      </w:r>
      <w:r>
        <w:rPr>
          <w:rFonts w:ascii="仿宋_GB2312" w:hAnsi="仿宋" w:hint="eastAsia"/>
          <w:szCs w:val="32"/>
        </w:rPr>
        <w:t>预算为2.5万元，支出决算为  2.5万元，完成预算的100%；较上年增加1.35万元，增长54%。决算数与预算数相同的主要原因是</w:t>
      </w:r>
      <w:bookmarkStart w:id="10" w:name="OLE_LINK33"/>
      <w:bookmarkStart w:id="11" w:name="OLE_LINK34"/>
      <w:r>
        <w:rPr>
          <w:rFonts w:ascii="仿宋_GB2312" w:hAnsi="仿宋" w:hint="eastAsia"/>
          <w:szCs w:val="32"/>
        </w:rPr>
        <w:t>厉行节约，对公车运行维护费用支出严格审批</w:t>
      </w:r>
      <w:bookmarkEnd w:id="10"/>
      <w:bookmarkEnd w:id="11"/>
      <w:r>
        <w:rPr>
          <w:rFonts w:ascii="仿宋_GB2312" w:hAnsi="仿宋" w:hint="eastAsia"/>
          <w:szCs w:val="32"/>
        </w:rPr>
        <w:t>，调整了年初预算数。决算数较上年增加的主要原因是</w:t>
      </w:r>
      <w:bookmarkStart w:id="12" w:name="OLE_LINK35"/>
      <w:bookmarkStart w:id="13" w:name="OLE_LINK36"/>
      <w:r>
        <w:rPr>
          <w:rFonts w:ascii="仿宋_GB2312" w:hAnsi="仿宋" w:hint="eastAsia"/>
          <w:szCs w:val="32"/>
        </w:rPr>
        <w:t>2022年全市人事考试工作受新冠疫情影响较大，公车全年基本无外出，发生车辆运</w:t>
      </w:r>
      <w:proofErr w:type="gramStart"/>
      <w:r>
        <w:rPr>
          <w:rFonts w:ascii="仿宋_GB2312" w:hAnsi="仿宋" w:hint="eastAsia"/>
          <w:szCs w:val="32"/>
        </w:rPr>
        <w:t>维费用</w:t>
      </w:r>
      <w:proofErr w:type="gramEnd"/>
      <w:r>
        <w:rPr>
          <w:rFonts w:ascii="仿宋_GB2312" w:hAnsi="仿宋" w:hint="eastAsia"/>
          <w:szCs w:val="32"/>
        </w:rPr>
        <w:t>较少。</w:t>
      </w:r>
      <w:bookmarkEnd w:id="12"/>
      <w:bookmarkEnd w:id="13"/>
      <w:r>
        <w:rPr>
          <w:rFonts w:ascii="仿宋_GB2312" w:hAnsi="仿宋" w:hint="eastAsia"/>
          <w:szCs w:val="32"/>
        </w:rPr>
        <w:t>其中，公务用车购置费预算为0万元，支出决算为0万元，完成预算的100%，决算数与预算数相同；较上年减少0万元，下降0%。原因是2022年度、2023年度均未安排公务用车购置计划。2023年没有安排公务用车购置费。公务用车运行维护费预算为2.5万元，支出决算为2.5万元，完成预算的100%；较上年增加1.35万元，增长54%。决算数与预算数相同的主要原因是厉行节约，对公车运行维护费用支出严格审批，调整了年初预算数。决算数较上年增加的主要原因是2022年全市人事考试工作受新冠疫情影响较大，公车全年基本无外出，发生车辆运</w:t>
      </w:r>
      <w:proofErr w:type="gramStart"/>
      <w:r>
        <w:rPr>
          <w:rFonts w:ascii="仿宋_GB2312" w:hAnsi="仿宋" w:hint="eastAsia"/>
          <w:szCs w:val="32"/>
        </w:rPr>
        <w:t>维费用</w:t>
      </w:r>
      <w:proofErr w:type="gramEnd"/>
      <w:r>
        <w:rPr>
          <w:rFonts w:ascii="仿宋_GB2312" w:hAnsi="仿宋" w:hint="eastAsia"/>
          <w:szCs w:val="32"/>
        </w:rPr>
        <w:t>较少。公务用车运行维护费，包括车辆燃料费、维修费、过路过桥费、保险费等支出，主要用于赴省厅及其他地</w:t>
      </w:r>
      <w:r>
        <w:rPr>
          <w:rFonts w:ascii="仿宋_GB2312" w:hAnsi="仿宋" w:hint="eastAsia"/>
          <w:szCs w:val="32"/>
        </w:rPr>
        <w:lastRenderedPageBreak/>
        <w:t>市接送试卷。截至2023年12月31日，淮北市人事考试中心开支财政拨款的公务用车保有量为1辆。</w:t>
      </w:r>
    </w:p>
    <w:p w:rsidR="00045D5B" w:rsidRDefault="00045D5B" w:rsidP="00045D5B">
      <w:pPr>
        <w:pStyle w:val="a5"/>
        <w:ind w:left="1258" w:hanging="1258"/>
        <w:jc w:val="both"/>
        <w:rPr>
          <w:rFonts w:ascii="仿宋_GB2312" w:eastAsia="仿宋_GB2312" w:hint="eastAsia"/>
          <w:sz w:val="32"/>
        </w:rPr>
      </w:pPr>
    </w:p>
    <w:p w:rsidR="00045D5B" w:rsidRDefault="00045D5B" w:rsidP="00045D5B">
      <w:pPr>
        <w:pStyle w:val="a5"/>
        <w:ind w:left="1258" w:hanging="1258"/>
        <w:jc w:val="both"/>
        <w:rPr>
          <w:rFonts w:ascii="仿宋_GB2312" w:eastAsia="仿宋_GB2312" w:hint="eastAsia"/>
          <w:sz w:val="32"/>
        </w:rPr>
      </w:pPr>
    </w:p>
    <w:p w:rsidR="00045D5B" w:rsidRDefault="00045D5B" w:rsidP="00045D5B">
      <w:pPr>
        <w:pStyle w:val="a5"/>
        <w:jc w:val="both"/>
        <w:rPr>
          <w:rFonts w:hint="eastAsia"/>
        </w:rPr>
      </w:pPr>
    </w:p>
    <w:p w:rsidR="00C418AA" w:rsidRPr="00045D5B" w:rsidRDefault="00224819"/>
    <w:sectPr w:rsidR="00C418AA" w:rsidRPr="00045D5B">
      <w:footerReference w:type="even" r:id="rId6"/>
      <w:footerReference w:type="default" r:id="rId7"/>
      <w:pgSz w:w="11906" w:h="16838"/>
      <w:pgMar w:top="2155" w:right="1531" w:bottom="1588" w:left="1588" w:header="0" w:footer="1588" w:gutter="0"/>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819" w:rsidRDefault="00224819" w:rsidP="00045D5B">
      <w:r>
        <w:separator/>
      </w:r>
    </w:p>
  </w:endnote>
  <w:endnote w:type="continuationSeparator" w:id="0">
    <w:p w:rsidR="00224819" w:rsidRDefault="00224819" w:rsidP="00045D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90" w:rsidRDefault="00224819">
    <w:pPr>
      <w:pStyle w:val="a4"/>
      <w:framePr w:wrap="around" w:vAnchor="text" w:hAnchor="margin" w:xAlign="right" w:y="1"/>
      <w:rPr>
        <w:rStyle w:val="a6"/>
      </w:rPr>
    </w:pPr>
    <w:r>
      <w:fldChar w:fldCharType="begin"/>
    </w:r>
    <w:r>
      <w:rPr>
        <w:rStyle w:val="a6"/>
      </w:rPr>
      <w:instrText xml:space="preserve">PAGE  </w:instrText>
    </w:r>
    <w:r>
      <w:fldChar w:fldCharType="separate"/>
    </w:r>
    <w:r>
      <w:rPr>
        <w:rStyle w:val="a6"/>
        <w:lang w:val="en-US" w:eastAsia="zh-CN"/>
      </w:rPr>
      <w:t>1</w:t>
    </w:r>
    <w:r>
      <w:fldChar w:fldCharType="end"/>
    </w:r>
  </w:p>
  <w:p w:rsidR="000F6690" w:rsidRDefault="0022481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90" w:rsidRDefault="00224819">
    <w:pPr>
      <w:pStyle w:val="a4"/>
      <w:framePr w:wrap="around" w:vAnchor="text" w:hAnchor="margin" w:xAlign="right" w:y="1"/>
      <w:rPr>
        <w:rStyle w:val="a6"/>
        <w:rFonts w:ascii="仿宋_GB2312"/>
        <w:sz w:val="28"/>
      </w:rPr>
    </w:pPr>
    <w:r>
      <w:rPr>
        <w:rStyle w:val="a6"/>
        <w:rFonts w:ascii="仿宋_GB2312" w:hint="eastAsia"/>
        <w:sz w:val="28"/>
      </w:rPr>
      <w:t>-</w:t>
    </w:r>
    <w:r>
      <w:rPr>
        <w:rFonts w:ascii="仿宋_GB2312" w:hint="eastAsia"/>
        <w:sz w:val="28"/>
        <w:szCs w:val="28"/>
      </w:rPr>
      <w:fldChar w:fldCharType="begin"/>
    </w:r>
    <w:r>
      <w:rPr>
        <w:rStyle w:val="a6"/>
        <w:rFonts w:ascii="仿宋_GB2312" w:hint="eastAsia"/>
        <w:sz w:val="28"/>
        <w:szCs w:val="28"/>
      </w:rPr>
      <w:instrText xml:space="preserve"> PAGE </w:instrText>
    </w:r>
    <w:r>
      <w:rPr>
        <w:rFonts w:ascii="仿宋_GB2312" w:hint="eastAsia"/>
        <w:sz w:val="28"/>
        <w:szCs w:val="28"/>
      </w:rPr>
      <w:fldChar w:fldCharType="separate"/>
    </w:r>
    <w:r w:rsidR="00045D5B">
      <w:rPr>
        <w:rStyle w:val="a6"/>
        <w:rFonts w:ascii="仿宋_GB2312"/>
        <w:noProof/>
        <w:sz w:val="28"/>
        <w:szCs w:val="28"/>
      </w:rPr>
      <w:t>4</w:t>
    </w:r>
    <w:r>
      <w:rPr>
        <w:rFonts w:ascii="仿宋_GB2312" w:hint="eastAsia"/>
        <w:sz w:val="28"/>
        <w:szCs w:val="28"/>
      </w:rPr>
      <w:fldChar w:fldCharType="end"/>
    </w:r>
    <w:r>
      <w:rPr>
        <w:rStyle w:val="a6"/>
        <w:rFonts w:ascii="仿宋_GB2312" w:hint="eastAsia"/>
        <w:sz w:val="28"/>
        <w:szCs w:val="28"/>
      </w:rPr>
      <w:t>-</w:t>
    </w:r>
  </w:p>
  <w:p w:rsidR="000F6690" w:rsidRDefault="00224819">
    <w:pPr>
      <w:pStyle w:val="a4"/>
      <w:ind w:right="360"/>
      <w:jc w:val="right"/>
      <w:rPr>
        <w:rFonts w:ascii="仿宋_GB2312" w:hint="eastAsia"/>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819" w:rsidRDefault="00224819" w:rsidP="00045D5B">
      <w:r>
        <w:separator/>
      </w:r>
    </w:p>
  </w:footnote>
  <w:footnote w:type="continuationSeparator" w:id="0">
    <w:p w:rsidR="00224819" w:rsidRDefault="00224819" w:rsidP="00045D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5D5B"/>
    <w:rsid w:val="00045D5B"/>
    <w:rsid w:val="0006441D"/>
    <w:rsid w:val="00224819"/>
    <w:rsid w:val="00C261FB"/>
    <w:rsid w:val="00CE39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5B"/>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5D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45D5B"/>
    <w:rPr>
      <w:sz w:val="18"/>
      <w:szCs w:val="18"/>
    </w:rPr>
  </w:style>
  <w:style w:type="paragraph" w:styleId="a4">
    <w:name w:val="footer"/>
    <w:basedOn w:val="a"/>
    <w:link w:val="Char0"/>
    <w:unhideWhenUsed/>
    <w:rsid w:val="00045D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45D5B"/>
    <w:rPr>
      <w:sz w:val="18"/>
      <w:szCs w:val="18"/>
    </w:rPr>
  </w:style>
  <w:style w:type="paragraph" w:styleId="a5">
    <w:name w:val="Body Text"/>
    <w:basedOn w:val="a"/>
    <w:link w:val="Char1"/>
    <w:rsid w:val="00045D5B"/>
    <w:pPr>
      <w:jc w:val="center"/>
    </w:pPr>
    <w:rPr>
      <w:rFonts w:eastAsia="黑体"/>
      <w:sz w:val="36"/>
    </w:rPr>
  </w:style>
  <w:style w:type="character" w:customStyle="1" w:styleId="Char1">
    <w:name w:val="正文文本 Char"/>
    <w:basedOn w:val="a0"/>
    <w:link w:val="a5"/>
    <w:rsid w:val="00045D5B"/>
    <w:rPr>
      <w:rFonts w:ascii="Times New Roman" w:eastAsia="黑体" w:hAnsi="Times New Roman" w:cs="Times New Roman"/>
      <w:sz w:val="36"/>
      <w:szCs w:val="20"/>
    </w:rPr>
  </w:style>
  <w:style w:type="character" w:styleId="a6">
    <w:name w:val="page number"/>
    <w:basedOn w:val="a0"/>
    <w:rsid w:val="00045D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258</Words>
  <Characters>1473</Characters>
  <Application>Microsoft Office Word</Application>
  <DocSecurity>0</DocSecurity>
  <Lines>12</Lines>
  <Paragraphs>3</Paragraphs>
  <ScaleCrop>false</ScaleCrop>
  <Company>China</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赵国远</dc:creator>
  <cp:keywords/>
  <dc:description/>
  <cp:lastModifiedBy>赵国远</cp:lastModifiedBy>
  <cp:revision>2</cp:revision>
  <dcterms:created xsi:type="dcterms:W3CDTF">2024-09-24T08:48:00Z</dcterms:created>
  <dcterms:modified xsi:type="dcterms:W3CDTF">2024-09-24T08:48:00Z</dcterms:modified>
</cp:coreProperties>
</file>