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36"/>
          <w:szCs w:val="36"/>
        </w:rPr>
        <w:t>淮北市工伤保险管理服务中心2022</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pPr>
        <w:jc w:val="center"/>
        <w:rPr>
          <w:rFonts w:hint="eastAsia" w:ascii="楷体_GB2312" w:eastAsia="楷体_GB2312"/>
          <w:szCs w:val="32"/>
        </w:rPr>
      </w:pPr>
    </w:p>
    <w:p>
      <w:pPr>
        <w:rPr>
          <w:rFonts w:hint="eastAsia" w:ascii="黑体" w:hAnsi="黑体" w:eastAsia="黑体"/>
          <w:szCs w:val="32"/>
        </w:rPr>
      </w:pPr>
      <w:r>
        <w:rPr>
          <w:rFonts w:hint="eastAsia" w:ascii="黑体" w:hAnsi="黑体" w:eastAsia="黑体"/>
          <w:szCs w:val="32"/>
        </w:rPr>
        <w:t xml:space="preserve">    一、2022年度一般公共预算财政拨款“三公”经费支出决算表</w:t>
      </w:r>
    </w:p>
    <w:p>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6"/>
        <w:tblpPr w:leftFromText="180" w:rightFromText="180" w:vertAnchor="text" w:horzAnchor="margin" w:tblpY="454"/>
        <w:tblOverlap w:val="never"/>
        <w:tblW w:w="8756" w:type="dxa"/>
        <w:tblInd w:w="0" w:type="dxa"/>
        <w:tblLayout w:type="fixed"/>
        <w:tblCellMar>
          <w:top w:w="0" w:type="dxa"/>
          <w:left w:w="108" w:type="dxa"/>
          <w:bottom w:w="0" w:type="dxa"/>
          <w:right w:w="108" w:type="dxa"/>
        </w:tblCellMar>
      </w:tblPr>
      <w:tblGrid>
        <w:gridCol w:w="4379"/>
        <w:gridCol w:w="2157"/>
        <w:gridCol w:w="2220"/>
      </w:tblGrid>
      <w:tr>
        <w:tblPrEx>
          <w:tblLayout w:type="fixed"/>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3.5</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1.29</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 w:val="30"/>
                <w:szCs w:val="30"/>
              </w:rPr>
            </w:pPr>
            <w:r>
              <w:rPr>
                <w:rFonts w:hint="eastAsia" w:ascii="宋体" w:hAnsi="宋体" w:cs="宋体"/>
                <w:kern w:val="0"/>
                <w:sz w:val="30"/>
                <w:szCs w:val="30"/>
              </w:rPr>
              <w:t>0.5</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 w:val="30"/>
                <w:szCs w:val="30"/>
              </w:rPr>
            </w:pPr>
            <w:r>
              <w:rPr>
                <w:rFonts w:hint="eastAsia" w:ascii="宋体" w:hAnsi="宋体" w:cs="宋体"/>
                <w:kern w:val="0"/>
                <w:sz w:val="30"/>
                <w:szCs w:val="30"/>
              </w:rPr>
              <w:t>0.3</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 w:val="30"/>
                <w:szCs w:val="30"/>
              </w:rPr>
            </w:pPr>
            <w:r>
              <w:rPr>
                <w:rFonts w:hint="eastAsia" w:ascii="宋体" w:hAnsi="宋体" w:cs="宋体"/>
                <w:kern w:val="0"/>
                <w:sz w:val="30"/>
                <w:szCs w:val="30"/>
              </w:rPr>
              <w:t>3</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 w:val="30"/>
                <w:szCs w:val="30"/>
              </w:rPr>
            </w:pPr>
            <w:r>
              <w:rPr>
                <w:rFonts w:hint="eastAsia" w:ascii="宋体" w:hAnsi="宋体" w:cs="宋体"/>
                <w:kern w:val="0"/>
                <w:sz w:val="30"/>
                <w:szCs w:val="30"/>
              </w:rPr>
              <w:t>0.99</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vAlign w:val="bottom"/>
          </w:tcPr>
          <w:p>
            <w:pPr>
              <w:widowControl/>
              <w:jc w:val="center"/>
              <w:rPr>
                <w:rFonts w:hint="eastAsia" w:ascii="宋体" w:hAnsi="宋体" w:cs="宋体"/>
                <w:kern w:val="0"/>
                <w:sz w:val="30"/>
                <w:szCs w:val="30"/>
              </w:rPr>
            </w:pPr>
            <w:r>
              <w:rPr>
                <w:rFonts w:hint="eastAsia" w:ascii="宋体" w:hAnsi="宋体" w:cs="宋体"/>
                <w:kern w:val="0"/>
                <w:sz w:val="30"/>
                <w:szCs w:val="30"/>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 w:val="30"/>
                <w:szCs w:val="30"/>
              </w:rPr>
            </w:pPr>
            <w:r>
              <w:rPr>
                <w:rFonts w:hint="eastAsia" w:ascii="宋体" w:hAnsi="宋体" w:cs="宋体"/>
                <w:kern w:val="0"/>
                <w:sz w:val="30"/>
                <w:szCs w:val="30"/>
              </w:rPr>
              <w:t>0</w:t>
            </w:r>
          </w:p>
        </w:tc>
      </w:tr>
      <w:tr>
        <w:tblPrEx>
          <w:tblLayout w:type="fixed"/>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公务用车运行维护费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 w:val="30"/>
                <w:szCs w:val="30"/>
              </w:rPr>
            </w:pPr>
            <w:r>
              <w:rPr>
                <w:rFonts w:hint="eastAsia" w:ascii="宋体" w:hAnsi="宋体" w:cs="宋体"/>
                <w:kern w:val="0"/>
                <w:sz w:val="30"/>
                <w:szCs w:val="30"/>
              </w:rPr>
              <w:t>3</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 w:val="30"/>
                <w:szCs w:val="30"/>
              </w:rPr>
            </w:pPr>
            <w:r>
              <w:rPr>
                <w:rFonts w:hint="eastAsia" w:ascii="宋体" w:hAnsi="宋体" w:cs="宋体"/>
                <w:kern w:val="0"/>
                <w:sz w:val="30"/>
                <w:szCs w:val="30"/>
              </w:rPr>
              <w:t>0.99</w:t>
            </w:r>
          </w:p>
        </w:tc>
      </w:tr>
    </w:tbl>
    <w:p>
      <w:pPr>
        <w:spacing w:line="300" w:lineRule="exact"/>
        <w:rPr>
          <w:rFonts w:hint="eastAsia" w:ascii="仿宋_GB2312" w:hAnsi="仿宋"/>
          <w:sz w:val="21"/>
          <w:szCs w:val="21"/>
        </w:rPr>
      </w:pPr>
    </w:p>
    <w:p>
      <w:pPr>
        <w:spacing w:line="300" w:lineRule="exact"/>
        <w:rPr>
          <w:rFonts w:hint="eastAsia" w:ascii="黑体" w:hAnsi="黑体" w:eastAsia="黑体"/>
          <w:szCs w:val="32"/>
        </w:rPr>
      </w:pPr>
      <w:r>
        <w:rPr>
          <w:rFonts w:hint="eastAsia" w:ascii="仿宋_GB2312" w:hAnsi="仿宋"/>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hint="eastAsia" w:ascii="仿宋_GB2312" w:hAnsi="仿宋"/>
          <w:szCs w:val="32"/>
        </w:rPr>
        <w:t xml:space="preserve">  </w:t>
      </w:r>
      <w:r>
        <w:rPr>
          <w:rFonts w:hint="eastAsia" w:ascii="黑体" w:hAnsi="黑体" w:eastAsia="黑体"/>
          <w:szCs w:val="32"/>
        </w:rPr>
        <w:t xml:space="preserve">                                    </w:t>
      </w:r>
    </w:p>
    <w:p>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pPr>
        <w:ind w:firstLine="628" w:firstLineChars="200"/>
        <w:rPr>
          <w:rFonts w:hint="eastAsia" w:ascii="仿宋_GB2312" w:hAnsi="宋体" w:cs="宋体"/>
          <w:kern w:val="0"/>
          <w:szCs w:val="32"/>
        </w:rPr>
      </w:pPr>
      <w:r>
        <w:rPr>
          <w:rFonts w:hint="eastAsia" w:ascii="仿宋_GB2312" w:hAnsi="宋体" w:cs="宋体"/>
          <w:kern w:val="0"/>
          <w:szCs w:val="32"/>
        </w:rPr>
        <w:t>淮北市工伤保险管理服务中心2022年度一般公共预算财政拨款“三公”经费支出预算为3.5万元，支出决算为1.29万元，完成预算的36.9%。决算数小于预算数和上年数的主要原因是一是规范公务招待费支出，减少加班餐使用，除会议和市外来宾接待等外，单位工作人员在市域范围内开展公务活动尽可能在本地机关食堂等指定用餐点用餐。二是下半年疫情原因导致市外稽核次数减少，车辆磨损程度减轻，故支出较少。</w:t>
      </w:r>
    </w:p>
    <w:p>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28" w:firstLineChars="200"/>
        <w:rPr>
          <w:rFonts w:hint="eastAsia" w:ascii="仿宋_GB2312" w:hAnsi="宋体" w:cs="宋体"/>
          <w:kern w:val="0"/>
          <w:szCs w:val="32"/>
        </w:rPr>
      </w:pPr>
      <w:r>
        <w:rPr>
          <w:rFonts w:hint="eastAsia" w:ascii="仿宋_GB2312" w:hAnsi="宋体" w:cs="宋体"/>
          <w:kern w:val="0"/>
          <w:szCs w:val="32"/>
        </w:rPr>
        <w:t>淮北市工伤保险管理服务中心2022年度一般公共预算财政拨款“三公”经费支出决算中，因公出国（境）费支出决算0万元，占0%;公务接待费支出决算0.3万元，占23.3%；公务用车购置及运行维护费支出决算0.99万元，占76.7%。具体情况如下：</w:t>
      </w:r>
    </w:p>
    <w:p>
      <w:pPr>
        <w:ind w:firstLine="628" w:firstLineChars="200"/>
        <w:rPr>
          <w:rFonts w:hint="eastAsia" w:ascii="仿宋_GB2312" w:hAnsi="宋体" w:cs="宋体"/>
          <w:kern w:val="0"/>
          <w:szCs w:val="32"/>
        </w:rPr>
      </w:pPr>
      <w:r>
        <w:rPr>
          <w:rFonts w:hint="eastAsia" w:ascii="仿宋_GB2312" w:hAnsi="仿宋"/>
          <w:b/>
          <w:bCs/>
          <w:szCs w:val="32"/>
        </w:rPr>
        <w:t>1.因公出国（境）费</w:t>
      </w:r>
      <w:r>
        <w:rPr>
          <w:rFonts w:hint="eastAsia" w:ascii="仿宋_GB2312" w:hAnsi="宋体" w:cs="宋体"/>
          <w:kern w:val="0"/>
          <w:szCs w:val="32"/>
        </w:rPr>
        <w:t>预算为0万元，支出决算为0万元，完成预算的100%，决算数与预算数相同；较上年减少0万元，下降0%。原因是2021年度、2022年度均未安排出国（境）计划。故2022年淮北市工伤保险管理服务中心因公出国（境）团组0次，累计出国（境）0人次。</w:t>
      </w:r>
    </w:p>
    <w:p>
      <w:pPr>
        <w:ind w:firstLine="628" w:firstLineChars="200"/>
        <w:rPr>
          <w:rFonts w:hint="eastAsia" w:ascii="仿宋_GB2312" w:hAnsi="宋体" w:cs="宋体"/>
          <w:kern w:val="0"/>
          <w:szCs w:val="32"/>
        </w:rPr>
      </w:pPr>
      <w:r>
        <w:rPr>
          <w:rFonts w:hint="eastAsia" w:ascii="仿宋_GB2312" w:hAnsi="仿宋"/>
          <w:b/>
          <w:bCs/>
          <w:szCs w:val="32"/>
        </w:rPr>
        <w:t>2.公务接待费</w:t>
      </w:r>
      <w:r>
        <w:rPr>
          <w:rFonts w:hint="eastAsia" w:ascii="仿宋_GB2312" w:hAnsi="宋体" w:cs="宋体"/>
          <w:kern w:val="0"/>
          <w:szCs w:val="32"/>
        </w:rPr>
        <w:t>预算为0.5万元，支出决算为0.3万元，完成预算的60.0%；较上年减少0.15万元，下降33.3%。决算数小于预算数和上年数的主要原因是规范公务招待费支出，减少加班餐使用，除会议和市外来宾接待等外，单位工作人员在市域范围内开展公务活动尽可能在本地机关食堂等指定用餐点用餐。2022年淮北市工伤保险管理服务中心国内公务接待共35批次（其中外事接待0批次），100人次（其中外事接待0人次）。主要是用于工作人员加班盒饭支出。经费使用贯彻中央八项规定精神和市委实施细则，严格执行《关于印发&lt;淮北市市直单位接待经费管理暂行办法&gt;的通知》（财行〔2013〕133号）、《淮北市财政局淮北市机关事务管理中心关于调整市直机关公务接待费用餐标准的通知》（财行〔2021〕85号）等相关规定。</w:t>
      </w:r>
    </w:p>
    <w:p>
      <w:pPr>
        <w:ind w:firstLine="628" w:firstLineChars="200"/>
      </w:pPr>
      <w:r>
        <w:rPr>
          <w:rFonts w:hint="eastAsia" w:ascii="仿宋_GB2312" w:hAnsi="仿宋"/>
          <w:b/>
          <w:bCs/>
          <w:szCs w:val="32"/>
          <w:highlight w:val="none"/>
        </w:rPr>
        <w:t>3.公务用车购置及运行维护费</w:t>
      </w:r>
      <w:r>
        <w:rPr>
          <w:rFonts w:hint="eastAsia" w:ascii="仿宋_GB2312" w:hAnsi="宋体" w:cs="宋体"/>
          <w:kern w:val="0"/>
          <w:szCs w:val="32"/>
          <w:highlight w:val="none"/>
        </w:rPr>
        <w:t>预算为3万元，支出决算为 0.99万元，完成预算的33.0%；较上年减少0万元，下降0%。</w:t>
      </w:r>
      <w:r>
        <w:rPr>
          <w:rFonts w:hint="eastAsia" w:ascii="仿宋_GB2312" w:hAnsi="宋体" w:cs="宋体"/>
          <w:kern w:val="0"/>
          <w:szCs w:val="32"/>
        </w:rPr>
        <w:t>决算数小于预算数的主要原因是下半年疫情原因稽核次数减少，车辆磨损程度减轻，故支出较少。决算数较上年未变动的主要原因</w:t>
      </w:r>
      <w:r>
        <w:rPr>
          <w:rFonts w:hint="eastAsia" w:ascii="仿宋_GB2312" w:hAnsi="宋体" w:cs="宋体"/>
          <w:kern w:val="0"/>
          <w:szCs w:val="32"/>
          <w:lang w:val="en-US" w:eastAsia="zh-CN"/>
        </w:rPr>
        <w:t>因疫情原因，稽核频率和上年度持平</w:t>
      </w:r>
      <w:r>
        <w:rPr>
          <w:rFonts w:hint="eastAsia" w:ascii="仿宋_GB2312" w:hAnsi="宋体" w:cs="宋体"/>
          <w:kern w:val="0"/>
          <w:szCs w:val="32"/>
        </w:rPr>
        <w:t>。其中，公务用车购置费预算为0万元，支出决算为0万元，完成预算的100%，决算数与预算数相同；较上年减少0万元，下降0%，原因是2021年度、2022年度没有安排公务用车购置费。公务用车运行维护费预算为3万元，支出决算为0.99万元，完成预算的33.0%；较上年减少0万元，下降0%。决算数小于预算数的主要原因是下半年疫情原因导致市外稽核次数减少，车辆磨损程度减轻，故支出较少。决算数较上年未变动的主要原因</w:t>
      </w:r>
      <w:r>
        <w:rPr>
          <w:rFonts w:hint="eastAsia" w:ascii="仿宋_GB2312" w:hAnsi="宋体" w:cs="宋体"/>
          <w:kern w:val="0"/>
          <w:szCs w:val="32"/>
          <w:lang w:val="en-US" w:eastAsia="zh-CN"/>
        </w:rPr>
        <w:t>因疫情原因，稽核频率和上年度持平</w:t>
      </w:r>
      <w:r>
        <w:rPr>
          <w:rFonts w:hint="eastAsia" w:ascii="仿宋_GB2312" w:hAnsi="宋体" w:cs="宋体"/>
          <w:kern w:val="0"/>
          <w:szCs w:val="32"/>
        </w:rPr>
        <w:t>。公务用车运行维护费，包括车维修费、过路过桥费、保险费等支出，主要用于主要用于车辆维修费和保险费。截至2022年12月31日，淮北市工伤保险管理服务中心开支财政拨款的公务用车保有量为1辆。</w:t>
      </w:r>
      <w:bookmarkStart w:id="0" w:name="_GoBack"/>
      <w:bookmarkEnd w:id="0"/>
    </w:p>
    <w:sectPr>
      <w:footerReference r:id="rId3" w:type="default"/>
      <w:footerReference r:id="rId4" w:type="even"/>
      <w:pgSz w:w="11906" w:h="16838"/>
      <w:pgMar w:top="2155" w:right="1531" w:bottom="1588" w:left="1588"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Fonts w:ascii="仿宋_GB2312"/>
        <w:sz w:val="28"/>
      </w:rPr>
    </w:pPr>
    <w:r>
      <w:rPr>
        <w:rStyle w:val="5"/>
        <w:rFonts w:hint="eastAsia" w:ascii="仿宋_GB2312"/>
        <w:sz w:val="28"/>
      </w:rPr>
      <w:t>-</w:t>
    </w:r>
    <w:r>
      <w:rPr>
        <w:rFonts w:hint="eastAsia" w:ascii="仿宋_GB2312"/>
        <w:sz w:val="28"/>
        <w:szCs w:val="28"/>
      </w:rPr>
      <w:fldChar w:fldCharType="begin"/>
    </w:r>
    <w:r>
      <w:rPr>
        <w:rStyle w:val="5"/>
        <w:rFonts w:hint="eastAsia" w:ascii="仿宋_GB2312"/>
        <w:sz w:val="28"/>
        <w:szCs w:val="28"/>
      </w:rPr>
      <w:instrText xml:space="preserve"> PAGE </w:instrText>
    </w:r>
    <w:r>
      <w:rPr>
        <w:rFonts w:hint="eastAsia" w:ascii="仿宋_GB2312"/>
        <w:sz w:val="28"/>
        <w:szCs w:val="28"/>
      </w:rPr>
      <w:fldChar w:fldCharType="separate"/>
    </w:r>
    <w:r>
      <w:rPr>
        <w:rStyle w:val="5"/>
        <w:rFonts w:ascii="仿宋_GB2312"/>
        <w:sz w:val="28"/>
        <w:szCs w:val="28"/>
        <w:lang w:val="en-US" w:eastAsia="zh-CN"/>
      </w:rPr>
      <w:t>50</w:t>
    </w:r>
    <w:r>
      <w:rPr>
        <w:rFonts w:hint="eastAsia" w:ascii="仿宋_GB2312"/>
        <w:sz w:val="28"/>
        <w:szCs w:val="28"/>
      </w:rPr>
      <w:fldChar w:fldCharType="end"/>
    </w:r>
    <w:r>
      <w:rPr>
        <w:rStyle w:val="5"/>
        <w:rFonts w:hint="eastAsia" w:ascii="仿宋_GB2312"/>
        <w:sz w:val="28"/>
        <w:szCs w:val="28"/>
      </w:rPr>
      <w:t>-</w:t>
    </w:r>
  </w:p>
  <w:p>
    <w:pPr>
      <w:pStyle w:val="2"/>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lang w:val="en-US" w:eastAsia="zh-CN"/>
      </w:rPr>
      <w:t>1</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4D"/>
    <w:rsid w:val="0019254D"/>
    <w:rsid w:val="00874ED0"/>
    <w:rsid w:val="00C043FF"/>
    <w:rsid w:val="00E912E2"/>
    <w:rsid w:val="6910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qFormat/>
    <w:uiPriority w:val="0"/>
  </w:style>
  <w:style w:type="character" w:customStyle="1" w:styleId="7">
    <w:name w:val="页眉 字符"/>
    <w:basedOn w:val="4"/>
    <w:link w:val="3"/>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254</Words>
  <Characters>1451</Characters>
  <Lines>12</Lines>
  <Paragraphs>3</Paragraphs>
  <TotalTime>1</TotalTime>
  <ScaleCrop>false</ScaleCrop>
  <LinksUpToDate>false</LinksUpToDate>
  <CharactersWithSpaces>1702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2023-09-25T08:50:00Z</dcterms:created>
  <dc:creator>cuttin</dc:creator>
  <cp:lastModifiedBy>Administrator</cp:lastModifiedBy>
  <dcterms:modified xsi:type="dcterms:W3CDTF">2024-09-20T06:52:54Z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