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jc w:val="center"/>
        <w:rPr>
          <w:rFonts w:hint="eastAsia" w:ascii="方正小标宋简体" w:hAnsi="Times New Roman" w:eastAsia="方正小标宋简体"/>
          <w:b w:val="0"/>
          <w:kern w:val="0"/>
          <w:sz w:val="36"/>
          <w:szCs w:val="36"/>
        </w:rPr>
      </w:pPr>
      <w:r>
        <w:rPr>
          <w:rFonts w:hint="eastAsia" w:ascii="方正小标宋简体" w:hAnsi="Times New Roman" w:eastAsia="方正小标宋简体"/>
          <w:b w:val="0"/>
          <w:kern w:val="0"/>
          <w:sz w:val="36"/>
          <w:szCs w:val="36"/>
          <w:lang w:eastAsia="zh-CN"/>
        </w:rPr>
        <w:t>四、</w:t>
      </w:r>
      <w:bookmarkStart w:id="3" w:name="_GoBack"/>
      <w:bookmarkEnd w:id="3"/>
      <w:r>
        <w:rPr>
          <w:rFonts w:hint="eastAsia" w:ascii="方正小标宋简体" w:hAnsi="Times New Roman" w:eastAsia="方正小标宋简体"/>
          <w:b w:val="0"/>
          <w:kern w:val="0"/>
          <w:sz w:val="36"/>
          <w:szCs w:val="36"/>
        </w:rPr>
        <w:t>主要指标解释</w:t>
      </w:r>
    </w:p>
    <w:p>
      <w:pPr>
        <w:jc w:val="center"/>
        <w:rPr>
          <w:b/>
          <w:bCs/>
          <w:sz w:val="28"/>
          <w:szCs w:val="28"/>
        </w:rPr>
      </w:pPr>
      <w:r>
        <w:rPr>
          <w:rFonts w:hint="eastAsia"/>
          <w:b/>
          <w:bCs/>
          <w:sz w:val="28"/>
          <w:szCs w:val="28"/>
        </w:rPr>
        <w:t>企业基本情况</w:t>
      </w:r>
    </w:p>
    <w:p>
      <w:pPr>
        <w:spacing w:line="360" w:lineRule="exact"/>
        <w:ind w:firstLine="420" w:firstLineChars="200"/>
        <w:rPr>
          <w:b/>
        </w:rPr>
      </w:pPr>
    </w:p>
    <w:p>
      <w:pPr>
        <w:spacing w:line="360" w:lineRule="exact"/>
        <w:ind w:firstLine="560" w:firstLineChars="200"/>
        <w:rPr>
          <w:sz w:val="28"/>
          <w:szCs w:val="28"/>
        </w:rPr>
      </w:pPr>
      <w:r>
        <w:rPr>
          <w:rFonts w:hint="eastAsia"/>
          <w:b/>
          <w:sz w:val="28"/>
          <w:szCs w:val="28"/>
        </w:rPr>
        <w:t>统一社会信用代码</w:t>
      </w:r>
      <w:r>
        <w:rPr>
          <w:b/>
          <w:sz w:val="28"/>
          <w:szCs w:val="28"/>
        </w:rPr>
        <w:t>:</w:t>
      </w:r>
      <w:r>
        <w:rPr>
          <w:rFonts w:hint="eastAsia"/>
          <w:kern w:val="0"/>
          <w:sz w:val="28"/>
          <w:szCs w:val="28"/>
        </w:rPr>
        <w:t>指按照《国务院关于批转发展改革委等部门法人和其他组织统一社会信用代码制度建设总体方案的通知》（国发〔</w:t>
      </w:r>
      <w:r>
        <w:rPr>
          <w:kern w:val="0"/>
          <w:sz w:val="28"/>
          <w:szCs w:val="28"/>
        </w:rPr>
        <w:t>2015</w:t>
      </w:r>
      <w:r>
        <w:rPr>
          <w:rFonts w:hint="eastAsia"/>
          <w:kern w:val="0"/>
          <w:sz w:val="28"/>
          <w:szCs w:val="28"/>
        </w:rPr>
        <w:t>〕</w:t>
      </w:r>
      <w:r>
        <w:rPr>
          <w:kern w:val="0"/>
          <w:sz w:val="28"/>
          <w:szCs w:val="28"/>
        </w:rPr>
        <w:t>33</w:t>
      </w:r>
      <w:r>
        <w:rPr>
          <w:rFonts w:hint="eastAsia"/>
          <w:kern w:val="0"/>
          <w:sz w:val="28"/>
          <w:szCs w:val="28"/>
        </w:rPr>
        <w:t>号）规定，由赋码主管部门给</w:t>
      </w:r>
      <w:r>
        <w:rPr>
          <w:rFonts w:hint="eastAsia"/>
          <w:sz w:val="28"/>
          <w:szCs w:val="28"/>
        </w:rPr>
        <w:t>每一个法人单位和其他组织颁发的在全国范围内唯一的、终身不变的法定身份识别码。</w:t>
      </w:r>
    </w:p>
    <w:p>
      <w:pPr>
        <w:spacing w:line="360" w:lineRule="exact"/>
        <w:ind w:firstLine="560" w:firstLineChars="200"/>
        <w:rPr>
          <w:sz w:val="28"/>
          <w:szCs w:val="28"/>
        </w:rPr>
      </w:pPr>
      <w:r>
        <w:rPr>
          <w:rFonts w:hint="eastAsia"/>
          <w:sz w:val="28"/>
          <w:szCs w:val="28"/>
        </w:rPr>
        <w:t>统一社会信用代码由十八位的阿拉伯数字或大写英文字母（不使用</w:t>
      </w:r>
      <w:r>
        <w:rPr>
          <w:sz w:val="28"/>
          <w:szCs w:val="28"/>
        </w:rPr>
        <w:t>I</w:t>
      </w:r>
      <w:r>
        <w:rPr>
          <w:rFonts w:hint="eastAsia"/>
          <w:sz w:val="28"/>
          <w:szCs w:val="28"/>
        </w:rPr>
        <w:t>、</w:t>
      </w:r>
      <w:r>
        <w:rPr>
          <w:sz w:val="28"/>
          <w:szCs w:val="28"/>
        </w:rPr>
        <w:t>O</w:t>
      </w:r>
      <w:r>
        <w:rPr>
          <w:rFonts w:hint="eastAsia"/>
          <w:sz w:val="28"/>
          <w:szCs w:val="28"/>
        </w:rPr>
        <w:t>、</w:t>
      </w:r>
      <w:r>
        <w:rPr>
          <w:sz w:val="28"/>
          <w:szCs w:val="28"/>
        </w:rPr>
        <w:t>Z</w:t>
      </w:r>
      <w:r>
        <w:rPr>
          <w:rFonts w:hint="eastAsia"/>
          <w:sz w:val="28"/>
          <w:szCs w:val="28"/>
        </w:rPr>
        <w:t>、</w:t>
      </w:r>
      <w:r>
        <w:rPr>
          <w:sz w:val="28"/>
          <w:szCs w:val="28"/>
        </w:rPr>
        <w:t>S</w:t>
      </w:r>
      <w:r>
        <w:rPr>
          <w:rFonts w:hint="eastAsia"/>
          <w:sz w:val="28"/>
          <w:szCs w:val="28"/>
        </w:rPr>
        <w:t>、</w:t>
      </w:r>
      <w:r>
        <w:rPr>
          <w:sz w:val="28"/>
          <w:szCs w:val="28"/>
        </w:rPr>
        <w:t>V</w:t>
      </w:r>
      <w:r>
        <w:rPr>
          <w:rFonts w:hint="eastAsia"/>
          <w:sz w:val="28"/>
          <w:szCs w:val="28"/>
        </w:rPr>
        <w:t>）组成，其中：</w:t>
      </w:r>
    </w:p>
    <w:p>
      <w:pPr>
        <w:spacing w:line="360" w:lineRule="exact"/>
        <w:ind w:firstLine="560" w:firstLineChars="200"/>
        <w:rPr>
          <w:sz w:val="28"/>
          <w:szCs w:val="28"/>
        </w:rPr>
      </w:pPr>
      <w:r>
        <w:rPr>
          <w:rFonts w:hint="eastAsia"/>
          <w:b/>
          <w:sz w:val="28"/>
          <w:szCs w:val="28"/>
        </w:rPr>
        <w:t>第</w:t>
      </w:r>
      <w:r>
        <w:rPr>
          <w:b/>
          <w:sz w:val="28"/>
          <w:szCs w:val="28"/>
        </w:rPr>
        <w:t>1</w:t>
      </w:r>
      <w:r>
        <w:rPr>
          <w:rFonts w:hint="eastAsia"/>
          <w:b/>
          <w:sz w:val="28"/>
          <w:szCs w:val="28"/>
        </w:rPr>
        <w:t>位</w:t>
      </w:r>
      <w:r>
        <w:rPr>
          <w:rFonts w:hint="eastAsia"/>
          <w:sz w:val="28"/>
          <w:szCs w:val="28"/>
        </w:rPr>
        <w:t>：登记管理部门代码，使用阿拉伯数字或英文字母表示。分为</w:t>
      </w:r>
      <w:r>
        <w:rPr>
          <w:sz w:val="28"/>
          <w:szCs w:val="28"/>
        </w:rPr>
        <w:t>1</w:t>
      </w:r>
      <w:r>
        <w:rPr>
          <w:rFonts w:hint="eastAsia"/>
          <w:sz w:val="28"/>
          <w:szCs w:val="28"/>
        </w:rPr>
        <w:t>机构编制；</w:t>
      </w:r>
      <w:r>
        <w:rPr>
          <w:sz w:val="28"/>
          <w:szCs w:val="28"/>
        </w:rPr>
        <w:t>5</w:t>
      </w:r>
      <w:r>
        <w:rPr>
          <w:rFonts w:hint="eastAsia"/>
          <w:sz w:val="28"/>
          <w:szCs w:val="28"/>
        </w:rPr>
        <w:t>民政；</w:t>
      </w:r>
      <w:r>
        <w:rPr>
          <w:sz w:val="28"/>
          <w:szCs w:val="28"/>
        </w:rPr>
        <w:t>9</w:t>
      </w:r>
      <w:r>
        <w:rPr>
          <w:rFonts w:hint="eastAsia"/>
          <w:sz w:val="28"/>
          <w:szCs w:val="28"/>
        </w:rPr>
        <w:t>工商；</w:t>
      </w:r>
      <w:r>
        <w:rPr>
          <w:sz w:val="28"/>
          <w:szCs w:val="28"/>
        </w:rPr>
        <w:t>Y</w:t>
      </w:r>
      <w:r>
        <w:rPr>
          <w:rFonts w:hint="eastAsia"/>
          <w:sz w:val="28"/>
          <w:szCs w:val="28"/>
        </w:rPr>
        <w:t>其他。</w:t>
      </w:r>
    </w:p>
    <w:p>
      <w:pPr>
        <w:spacing w:line="360" w:lineRule="exact"/>
        <w:ind w:firstLine="560" w:firstLineChars="200"/>
        <w:jc w:val="left"/>
        <w:rPr>
          <w:sz w:val="28"/>
          <w:szCs w:val="28"/>
        </w:rPr>
      </w:pPr>
      <w:r>
        <w:rPr>
          <w:rFonts w:hint="eastAsia"/>
          <w:b/>
          <w:sz w:val="28"/>
          <w:szCs w:val="28"/>
        </w:rPr>
        <w:t>第</w:t>
      </w:r>
      <w:r>
        <w:rPr>
          <w:b/>
          <w:sz w:val="28"/>
          <w:szCs w:val="28"/>
        </w:rPr>
        <w:t>2</w:t>
      </w:r>
      <w:r>
        <w:rPr>
          <w:rFonts w:hint="eastAsia"/>
          <w:b/>
          <w:sz w:val="28"/>
          <w:szCs w:val="28"/>
        </w:rPr>
        <w:t>位</w:t>
      </w:r>
      <w:r>
        <w:rPr>
          <w:rFonts w:hint="eastAsia"/>
          <w:sz w:val="28"/>
          <w:szCs w:val="28"/>
        </w:rPr>
        <w:t>：机构类别代码，使用阿拉伯数字表示。分为：</w:t>
      </w:r>
    </w:p>
    <w:p>
      <w:pPr>
        <w:spacing w:line="360" w:lineRule="exact"/>
        <w:ind w:firstLine="560" w:firstLineChars="200"/>
        <w:rPr>
          <w:sz w:val="28"/>
          <w:szCs w:val="28"/>
        </w:rPr>
      </w:pPr>
      <w:r>
        <w:rPr>
          <w:rFonts w:hint="eastAsia"/>
          <w:sz w:val="28"/>
          <w:szCs w:val="28"/>
        </w:rPr>
        <w:t>机构编制：</w:t>
      </w:r>
      <w:r>
        <w:rPr>
          <w:sz w:val="28"/>
          <w:szCs w:val="28"/>
        </w:rPr>
        <w:t>1</w:t>
      </w:r>
      <w:r>
        <w:rPr>
          <w:rFonts w:hint="eastAsia"/>
          <w:sz w:val="28"/>
          <w:szCs w:val="28"/>
        </w:rPr>
        <w:t>机关，</w:t>
      </w:r>
      <w:r>
        <w:rPr>
          <w:sz w:val="28"/>
          <w:szCs w:val="28"/>
        </w:rPr>
        <w:t>2</w:t>
      </w:r>
      <w:r>
        <w:rPr>
          <w:rFonts w:hint="eastAsia"/>
          <w:sz w:val="28"/>
          <w:szCs w:val="28"/>
        </w:rPr>
        <w:t>事业单位，</w:t>
      </w:r>
      <w:r>
        <w:rPr>
          <w:sz w:val="28"/>
          <w:szCs w:val="28"/>
        </w:rPr>
        <w:t>3</w:t>
      </w:r>
      <w:r>
        <w:rPr>
          <w:rFonts w:hint="eastAsia"/>
          <w:sz w:val="28"/>
          <w:szCs w:val="28"/>
        </w:rPr>
        <w:t>中央编办直接管理机构编制的群众团体；</w:t>
      </w:r>
    </w:p>
    <w:p>
      <w:pPr>
        <w:spacing w:line="360" w:lineRule="exact"/>
        <w:ind w:firstLine="560" w:firstLineChars="200"/>
        <w:rPr>
          <w:sz w:val="28"/>
          <w:szCs w:val="28"/>
        </w:rPr>
      </w:pPr>
      <w:r>
        <w:rPr>
          <w:rFonts w:hint="eastAsia"/>
          <w:sz w:val="28"/>
          <w:szCs w:val="28"/>
        </w:rPr>
        <w:t>民政：</w:t>
      </w:r>
      <w:r>
        <w:rPr>
          <w:sz w:val="28"/>
          <w:szCs w:val="28"/>
        </w:rPr>
        <w:t>1</w:t>
      </w:r>
      <w:r>
        <w:rPr>
          <w:rFonts w:hint="eastAsia"/>
          <w:sz w:val="28"/>
          <w:szCs w:val="28"/>
        </w:rPr>
        <w:t>社会团体，</w:t>
      </w:r>
      <w:r>
        <w:rPr>
          <w:sz w:val="28"/>
          <w:szCs w:val="28"/>
        </w:rPr>
        <w:t>2</w:t>
      </w:r>
      <w:r>
        <w:rPr>
          <w:rFonts w:hint="eastAsia"/>
          <w:sz w:val="28"/>
          <w:szCs w:val="28"/>
        </w:rPr>
        <w:t>民办非企业单位，</w:t>
      </w:r>
      <w:r>
        <w:rPr>
          <w:sz w:val="28"/>
          <w:szCs w:val="28"/>
        </w:rPr>
        <w:t>3</w:t>
      </w:r>
      <w:r>
        <w:rPr>
          <w:rFonts w:hint="eastAsia"/>
          <w:sz w:val="28"/>
          <w:szCs w:val="28"/>
        </w:rPr>
        <w:t>基金会；</w:t>
      </w:r>
    </w:p>
    <w:p>
      <w:pPr>
        <w:spacing w:line="360" w:lineRule="exact"/>
        <w:ind w:firstLine="560" w:firstLineChars="200"/>
        <w:rPr>
          <w:sz w:val="28"/>
          <w:szCs w:val="28"/>
        </w:rPr>
      </w:pPr>
      <w:r>
        <w:rPr>
          <w:rFonts w:hint="eastAsia"/>
          <w:sz w:val="28"/>
          <w:szCs w:val="28"/>
        </w:rPr>
        <w:t>工商：</w:t>
      </w:r>
      <w:r>
        <w:rPr>
          <w:sz w:val="28"/>
          <w:szCs w:val="28"/>
        </w:rPr>
        <w:t>1</w:t>
      </w:r>
      <w:r>
        <w:rPr>
          <w:rFonts w:hint="eastAsia"/>
          <w:sz w:val="28"/>
          <w:szCs w:val="28"/>
        </w:rPr>
        <w:t>企业，</w:t>
      </w:r>
      <w:r>
        <w:rPr>
          <w:sz w:val="28"/>
          <w:szCs w:val="28"/>
        </w:rPr>
        <w:t>2</w:t>
      </w:r>
      <w:r>
        <w:rPr>
          <w:rFonts w:hint="eastAsia"/>
          <w:sz w:val="28"/>
          <w:szCs w:val="28"/>
        </w:rPr>
        <w:t>个体工商户，</w:t>
      </w:r>
      <w:r>
        <w:rPr>
          <w:sz w:val="28"/>
          <w:szCs w:val="28"/>
        </w:rPr>
        <w:t>3</w:t>
      </w:r>
      <w:r>
        <w:rPr>
          <w:rFonts w:hint="eastAsia"/>
          <w:sz w:val="28"/>
          <w:szCs w:val="28"/>
        </w:rPr>
        <w:t>农民专业合作社；</w:t>
      </w:r>
    </w:p>
    <w:p>
      <w:pPr>
        <w:spacing w:line="360" w:lineRule="exact"/>
        <w:ind w:firstLine="560" w:firstLineChars="200"/>
        <w:rPr>
          <w:sz w:val="28"/>
          <w:szCs w:val="28"/>
        </w:rPr>
      </w:pPr>
      <w:r>
        <w:rPr>
          <w:rFonts w:hint="eastAsia"/>
          <w:sz w:val="28"/>
          <w:szCs w:val="28"/>
        </w:rPr>
        <w:t>其他：不再具体划分机构类别，统一用</w:t>
      </w:r>
      <w:r>
        <w:rPr>
          <w:sz w:val="28"/>
          <w:szCs w:val="28"/>
        </w:rPr>
        <w:t>1</w:t>
      </w:r>
      <w:r>
        <w:rPr>
          <w:rFonts w:hint="eastAsia"/>
          <w:sz w:val="28"/>
          <w:szCs w:val="28"/>
        </w:rPr>
        <w:t>表示。</w:t>
      </w:r>
    </w:p>
    <w:p>
      <w:pPr>
        <w:spacing w:line="360" w:lineRule="exact"/>
        <w:ind w:firstLine="560" w:firstLineChars="200"/>
        <w:rPr>
          <w:sz w:val="28"/>
          <w:szCs w:val="28"/>
        </w:rPr>
      </w:pPr>
      <w:r>
        <w:rPr>
          <w:rFonts w:hint="eastAsia"/>
          <w:b/>
          <w:sz w:val="28"/>
          <w:szCs w:val="28"/>
        </w:rPr>
        <w:t>第</w:t>
      </w:r>
      <w:r>
        <w:rPr>
          <w:b/>
          <w:sz w:val="28"/>
          <w:szCs w:val="28"/>
        </w:rPr>
        <w:t>3—8</w:t>
      </w:r>
      <w:r>
        <w:rPr>
          <w:rFonts w:hint="eastAsia"/>
          <w:b/>
          <w:sz w:val="28"/>
          <w:szCs w:val="28"/>
        </w:rPr>
        <w:t>位</w:t>
      </w:r>
      <w:r>
        <w:rPr>
          <w:rFonts w:hint="eastAsia"/>
          <w:sz w:val="28"/>
          <w:szCs w:val="28"/>
        </w:rPr>
        <w:t>：登记管理机关行政区划码，使用阿拉伯数字表示。（参照《中华人民共和国行政区划代码》〔</w:t>
      </w:r>
      <w:r>
        <w:rPr>
          <w:sz w:val="28"/>
          <w:szCs w:val="28"/>
        </w:rPr>
        <w:t>GB/T 2260—2007</w:t>
      </w:r>
      <w:r>
        <w:rPr>
          <w:rFonts w:hint="eastAsia"/>
          <w:sz w:val="28"/>
          <w:szCs w:val="28"/>
        </w:rPr>
        <w:t>〕）。</w:t>
      </w:r>
    </w:p>
    <w:p>
      <w:pPr>
        <w:spacing w:line="360" w:lineRule="exact"/>
        <w:ind w:firstLine="560" w:firstLineChars="200"/>
        <w:rPr>
          <w:sz w:val="28"/>
          <w:szCs w:val="28"/>
        </w:rPr>
      </w:pPr>
      <w:r>
        <w:rPr>
          <w:rFonts w:hint="eastAsia"/>
          <w:b/>
          <w:sz w:val="28"/>
          <w:szCs w:val="28"/>
        </w:rPr>
        <w:t>第</w:t>
      </w:r>
      <w:r>
        <w:rPr>
          <w:b/>
          <w:sz w:val="28"/>
          <w:szCs w:val="28"/>
        </w:rPr>
        <w:t>9—17</w:t>
      </w:r>
      <w:r>
        <w:rPr>
          <w:rFonts w:hint="eastAsia"/>
          <w:b/>
          <w:sz w:val="28"/>
          <w:szCs w:val="28"/>
        </w:rPr>
        <w:t>位</w:t>
      </w:r>
      <w:r>
        <w:rPr>
          <w:rFonts w:hint="eastAsia"/>
          <w:sz w:val="28"/>
          <w:szCs w:val="28"/>
        </w:rPr>
        <w:t>：主体标识码（组织机构代码），使用阿拉伯数字或英文字母表示。（参照《全国组织机构代码编制规则》〔</w:t>
      </w:r>
      <w:r>
        <w:rPr>
          <w:sz w:val="28"/>
          <w:szCs w:val="28"/>
        </w:rPr>
        <w:t>GB 11714—1997</w:t>
      </w:r>
      <w:r>
        <w:rPr>
          <w:rFonts w:hint="eastAsia"/>
          <w:sz w:val="28"/>
          <w:szCs w:val="28"/>
        </w:rPr>
        <w:t>〕）</w:t>
      </w:r>
    </w:p>
    <w:p>
      <w:pPr>
        <w:spacing w:line="360" w:lineRule="exact"/>
        <w:ind w:firstLine="560" w:firstLineChars="200"/>
        <w:rPr>
          <w:sz w:val="28"/>
          <w:szCs w:val="28"/>
        </w:rPr>
      </w:pPr>
      <w:r>
        <w:rPr>
          <w:rFonts w:hint="eastAsia"/>
          <w:b/>
          <w:sz w:val="28"/>
          <w:szCs w:val="28"/>
        </w:rPr>
        <w:t>第</w:t>
      </w:r>
      <w:r>
        <w:rPr>
          <w:b/>
          <w:sz w:val="28"/>
          <w:szCs w:val="28"/>
        </w:rPr>
        <w:t>18</w:t>
      </w:r>
      <w:r>
        <w:rPr>
          <w:rFonts w:hint="eastAsia"/>
          <w:b/>
          <w:sz w:val="28"/>
          <w:szCs w:val="28"/>
        </w:rPr>
        <w:t>位</w:t>
      </w:r>
      <w:r>
        <w:rPr>
          <w:rFonts w:hint="eastAsia"/>
          <w:sz w:val="28"/>
          <w:szCs w:val="28"/>
        </w:rPr>
        <w:t>：校验码，使用阿拉伯数字或英文字母表示。</w:t>
      </w:r>
    </w:p>
    <w:p>
      <w:pPr>
        <w:spacing w:line="360" w:lineRule="exact"/>
        <w:ind w:firstLine="560" w:firstLineChars="200"/>
        <w:rPr>
          <w:sz w:val="28"/>
          <w:szCs w:val="28"/>
        </w:rPr>
      </w:pPr>
      <w:r>
        <w:rPr>
          <w:rFonts w:hint="eastAsia"/>
          <w:sz w:val="28"/>
          <w:szCs w:val="28"/>
        </w:rPr>
        <w:t>已经领取了统一社会信用代码的法人单位和产业活动单位必须填写统一社会信用代码。在填写时，要按照《营业执照》（证书）上的统一社会信用代码填写。</w:t>
      </w:r>
    </w:p>
    <w:p>
      <w:pPr>
        <w:spacing w:line="360" w:lineRule="exact"/>
        <w:ind w:firstLine="560" w:firstLineChars="200"/>
        <w:rPr>
          <w:sz w:val="28"/>
          <w:szCs w:val="28"/>
        </w:rPr>
      </w:pPr>
      <w:r>
        <w:rPr>
          <w:rFonts w:hint="eastAsia"/>
          <w:b/>
          <w:sz w:val="28"/>
          <w:szCs w:val="28"/>
        </w:rPr>
        <w:t>组织机构代码</w:t>
      </w:r>
      <w:r>
        <w:rPr>
          <w:b/>
          <w:sz w:val="28"/>
          <w:szCs w:val="28"/>
        </w:rPr>
        <w:t>:</w:t>
      </w:r>
      <w:r>
        <w:rPr>
          <w:rFonts w:hint="eastAsia"/>
          <w:sz w:val="28"/>
          <w:szCs w:val="28"/>
        </w:rPr>
        <w:t>指根据中华人民共和国国家标准《全国组织机构代码编制规则》（</w:t>
      </w:r>
      <w:r>
        <w:rPr>
          <w:sz w:val="28"/>
          <w:szCs w:val="28"/>
        </w:rPr>
        <w:t>GB11714-1997</w:t>
      </w:r>
      <w:r>
        <w:rPr>
          <w:rFonts w:hint="eastAsia"/>
          <w:sz w:val="28"/>
          <w:szCs w:val="28"/>
        </w:rPr>
        <w:t>），由组织机构代码登记主管部门给每个企业、事业单位、机关、社会团体和民办非企业等单位颁发的在全国范围内唯一的、始终不变的法定代码。组织机构代码共</w:t>
      </w:r>
      <w:r>
        <w:rPr>
          <w:sz w:val="28"/>
          <w:szCs w:val="28"/>
        </w:rPr>
        <w:t>9</w:t>
      </w:r>
      <w:r>
        <w:rPr>
          <w:rFonts w:hint="eastAsia"/>
          <w:sz w:val="28"/>
          <w:szCs w:val="28"/>
        </w:rPr>
        <w:t>位，无论是法人单位还是产业活动单位，组织机构代码均由</w:t>
      </w:r>
      <w:r>
        <w:rPr>
          <w:sz w:val="28"/>
          <w:szCs w:val="28"/>
        </w:rPr>
        <w:t>8</w:t>
      </w:r>
      <w:r>
        <w:rPr>
          <w:rFonts w:hint="eastAsia"/>
          <w:sz w:val="28"/>
          <w:szCs w:val="28"/>
        </w:rPr>
        <w:t>位无属性的数字和</w:t>
      </w:r>
      <w:r>
        <w:rPr>
          <w:sz w:val="28"/>
          <w:szCs w:val="28"/>
        </w:rPr>
        <w:t>1</w:t>
      </w:r>
      <w:r>
        <w:rPr>
          <w:rFonts w:hint="eastAsia"/>
          <w:sz w:val="28"/>
          <w:szCs w:val="28"/>
        </w:rPr>
        <w:t>位校验码组成。</w:t>
      </w:r>
    </w:p>
    <w:p>
      <w:pPr>
        <w:spacing w:line="360" w:lineRule="exact"/>
        <w:ind w:firstLine="560" w:firstLineChars="200"/>
        <w:rPr>
          <w:sz w:val="28"/>
          <w:szCs w:val="28"/>
        </w:rPr>
      </w:pPr>
      <w:r>
        <w:rPr>
          <w:sz w:val="28"/>
          <w:szCs w:val="28"/>
        </w:rPr>
        <w:t>1.</w:t>
      </w:r>
      <w:r>
        <w:rPr>
          <w:rFonts w:hint="eastAsia"/>
          <w:sz w:val="28"/>
          <w:szCs w:val="28"/>
        </w:rPr>
        <w:t>法定代码填写规定</w:t>
      </w:r>
    </w:p>
    <w:p>
      <w:pPr>
        <w:spacing w:line="360" w:lineRule="exact"/>
        <w:ind w:firstLine="560" w:firstLineChars="200"/>
        <w:rPr>
          <w:sz w:val="28"/>
          <w:szCs w:val="28"/>
        </w:rPr>
      </w:pPr>
      <w:r>
        <w:rPr>
          <w:rFonts w:hint="eastAsia"/>
          <w:sz w:val="28"/>
          <w:szCs w:val="28"/>
        </w:rPr>
        <w:t>已经领取了法定代码的法人单位和产业活动单位必须使用法定代码，不得使用临时代码。在填写时，要按照技术监督部门颁发的《中华人民共和国组织机构代码证》上的代码填写（也可参照税务部门颁发的税务登记证书上的税务登记号的后九位填写）。</w:t>
      </w:r>
    </w:p>
    <w:p>
      <w:pPr>
        <w:spacing w:line="360" w:lineRule="exact"/>
        <w:ind w:firstLine="560" w:firstLineChars="200"/>
        <w:rPr>
          <w:sz w:val="28"/>
          <w:szCs w:val="28"/>
        </w:rPr>
      </w:pPr>
      <w:r>
        <w:rPr>
          <w:rFonts w:hint="eastAsia"/>
          <w:sz w:val="28"/>
          <w:szCs w:val="28"/>
        </w:rPr>
        <w:t>产业活动单位是本部的，如果没有法定代码，使用法人单位法定代码的前八位，第九位校验码填</w:t>
      </w:r>
      <w:r>
        <w:rPr>
          <w:sz w:val="28"/>
          <w:szCs w:val="28"/>
        </w:rPr>
        <w:t>“B”</w:t>
      </w:r>
      <w:r>
        <w:rPr>
          <w:rFonts w:hint="eastAsia"/>
          <w:sz w:val="28"/>
          <w:szCs w:val="28"/>
        </w:rPr>
        <w:t>。</w:t>
      </w:r>
    </w:p>
    <w:p>
      <w:pPr>
        <w:spacing w:line="360" w:lineRule="exact"/>
        <w:ind w:firstLine="560" w:firstLineChars="200"/>
        <w:rPr>
          <w:sz w:val="28"/>
          <w:szCs w:val="28"/>
        </w:rPr>
      </w:pPr>
      <w:r>
        <w:rPr>
          <w:sz w:val="28"/>
          <w:szCs w:val="28"/>
        </w:rPr>
        <w:t>2.</w:t>
      </w:r>
      <w:r>
        <w:rPr>
          <w:rFonts w:hint="eastAsia"/>
          <w:sz w:val="28"/>
          <w:szCs w:val="28"/>
        </w:rPr>
        <w:t>临时代码使用规定</w:t>
      </w:r>
    </w:p>
    <w:p>
      <w:pPr>
        <w:spacing w:line="360" w:lineRule="exact"/>
        <w:ind w:firstLine="560" w:firstLineChars="200"/>
        <w:rPr>
          <w:sz w:val="28"/>
          <w:szCs w:val="28"/>
        </w:rPr>
      </w:pPr>
      <w:r>
        <w:rPr>
          <w:rFonts w:hint="eastAsia"/>
          <w:sz w:val="28"/>
          <w:szCs w:val="28"/>
        </w:rPr>
        <w:t>尚未领到法定代码或不属于法定代码赋码范围的单位，一律由各级统计部门从临时码段中赋予代码。</w:t>
      </w:r>
    </w:p>
    <w:p>
      <w:pPr>
        <w:spacing w:line="360" w:lineRule="exact"/>
        <w:ind w:firstLine="560" w:firstLineChars="200"/>
        <w:rPr>
          <w:sz w:val="28"/>
          <w:szCs w:val="28"/>
        </w:rPr>
      </w:pPr>
      <w:r>
        <w:rPr>
          <w:rFonts w:hint="eastAsia" w:eastAsia="黑体"/>
          <w:b/>
          <w:sz w:val="28"/>
          <w:szCs w:val="28"/>
        </w:rPr>
        <w:t>法定代表人（</w:t>
      </w:r>
      <w:r>
        <w:rPr>
          <w:rFonts w:hint="eastAsia"/>
          <w:b/>
          <w:sz w:val="28"/>
          <w:szCs w:val="28"/>
        </w:rPr>
        <w:t>单位负责人）</w:t>
      </w:r>
      <w:r>
        <w:rPr>
          <w:rFonts w:hint="eastAsia"/>
          <w:sz w:val="28"/>
          <w:szCs w:val="28"/>
        </w:rPr>
        <w:t>：指依照法律或者法人组织章程规定，代表法人行使职权的负责人。又称</w:t>
      </w:r>
      <w:r>
        <w:rPr>
          <w:sz w:val="28"/>
          <w:szCs w:val="28"/>
        </w:rPr>
        <w:t>“</w:t>
      </w:r>
      <w:r>
        <w:rPr>
          <w:rFonts w:hint="eastAsia"/>
          <w:sz w:val="28"/>
          <w:szCs w:val="28"/>
        </w:rPr>
        <w:t>法定代表人</w:t>
      </w:r>
      <w:r>
        <w:rPr>
          <w:sz w:val="28"/>
          <w:szCs w:val="28"/>
        </w:rPr>
        <w:t>”</w:t>
      </w:r>
      <w:r>
        <w:rPr>
          <w:rFonts w:hint="eastAsia"/>
          <w:sz w:val="28"/>
          <w:szCs w:val="28"/>
        </w:rPr>
        <w:t>。所有单位均填写本项。企业法定代表人按《企业法人营业执照》（或新版《营业执照》）填写。</w:t>
      </w:r>
    </w:p>
    <w:p>
      <w:pPr>
        <w:spacing w:line="360" w:lineRule="exact"/>
        <w:ind w:firstLine="560" w:firstLineChars="200"/>
        <w:rPr>
          <w:sz w:val="28"/>
          <w:szCs w:val="28"/>
        </w:rPr>
      </w:pPr>
      <w:r>
        <w:rPr>
          <w:rFonts w:hint="eastAsia"/>
          <w:b/>
          <w:sz w:val="28"/>
          <w:szCs w:val="28"/>
        </w:rPr>
        <w:t>联系方式：</w:t>
      </w:r>
      <w:r>
        <w:rPr>
          <w:rFonts w:hint="eastAsia"/>
          <w:sz w:val="28"/>
          <w:szCs w:val="28"/>
        </w:rPr>
        <w:t>包括固定电话、移动电话、电子信箱等能够与单位取得联系的信息。所有单位均填写本项。</w:t>
      </w:r>
    </w:p>
    <w:p>
      <w:pPr>
        <w:spacing w:line="360" w:lineRule="exact"/>
        <w:ind w:firstLine="560" w:firstLineChars="200"/>
        <w:rPr>
          <w:sz w:val="28"/>
          <w:szCs w:val="28"/>
        </w:rPr>
      </w:pPr>
      <w:r>
        <w:rPr>
          <w:rFonts w:hint="eastAsia"/>
          <w:sz w:val="28"/>
          <w:szCs w:val="28"/>
        </w:rPr>
        <w:t>电话号码以填写固定电话号码为主，对于确实没有固定电话号码的单位，可以填写主要负责人的移动电话号码。</w:t>
      </w:r>
    </w:p>
    <w:p>
      <w:pPr>
        <w:spacing w:line="360" w:lineRule="exact"/>
        <w:ind w:firstLine="560" w:firstLineChars="200"/>
        <w:rPr>
          <w:sz w:val="28"/>
          <w:szCs w:val="28"/>
        </w:rPr>
      </w:pPr>
      <w:r>
        <w:rPr>
          <w:rFonts w:hint="eastAsia"/>
          <w:b/>
          <w:sz w:val="28"/>
          <w:szCs w:val="28"/>
        </w:rPr>
        <w:t>单位隶属关系：</w:t>
      </w:r>
      <w:r>
        <w:rPr>
          <w:rFonts w:hint="eastAsia"/>
          <w:sz w:val="28"/>
          <w:szCs w:val="28"/>
        </w:rPr>
        <w:t>指本单位隶属于哪一级行政管理单位。按照国家标准《单位隶属关系代码》（</w:t>
      </w:r>
      <w:r>
        <w:rPr>
          <w:sz w:val="28"/>
          <w:szCs w:val="28"/>
        </w:rPr>
        <w:t>GB/T12404-1997</w:t>
      </w:r>
      <w:r>
        <w:rPr>
          <w:rFonts w:hint="eastAsia"/>
          <w:sz w:val="28"/>
          <w:szCs w:val="28"/>
        </w:rPr>
        <w:t>）分为：中央、省（自治区、直辖市）、地（区、市、州、盟）、县（区、市、旗）、街道（镇、乡）、居委会（村民委员会）和其他。</w:t>
      </w:r>
    </w:p>
    <w:p>
      <w:pPr>
        <w:spacing w:line="360" w:lineRule="exact"/>
        <w:ind w:firstLine="560" w:firstLineChars="200"/>
        <w:rPr>
          <w:sz w:val="28"/>
          <w:szCs w:val="28"/>
        </w:rPr>
      </w:pPr>
      <w:r>
        <w:rPr>
          <w:rFonts w:hint="eastAsia"/>
          <w:sz w:val="28"/>
          <w:szCs w:val="28"/>
        </w:rPr>
        <w:t>中央与地方双重领导的单位，以领导为主的一方来划分中央属或地方属。</w:t>
      </w:r>
    </w:p>
    <w:p>
      <w:pPr>
        <w:spacing w:line="360" w:lineRule="exact"/>
        <w:ind w:firstLine="560" w:firstLineChars="200"/>
        <w:rPr>
          <w:sz w:val="28"/>
          <w:szCs w:val="28"/>
        </w:rPr>
      </w:pPr>
      <w:r>
        <w:rPr>
          <w:rFonts w:hint="eastAsia"/>
          <w:sz w:val="28"/>
          <w:szCs w:val="28"/>
        </w:rPr>
        <w:t>隶属于</w:t>
      </w:r>
      <w:r>
        <w:rPr>
          <w:sz w:val="28"/>
          <w:szCs w:val="28"/>
        </w:rPr>
        <w:t>“</w:t>
      </w:r>
      <w:r>
        <w:rPr>
          <w:rFonts w:hint="eastAsia"/>
          <w:sz w:val="28"/>
          <w:szCs w:val="28"/>
        </w:rPr>
        <w:t>中央</w:t>
      </w:r>
      <w:r>
        <w:rPr>
          <w:sz w:val="28"/>
          <w:szCs w:val="28"/>
        </w:rPr>
        <w:t>”</w:t>
      </w:r>
      <w:r>
        <w:rPr>
          <w:rFonts w:hint="eastAsia"/>
          <w:sz w:val="28"/>
          <w:szCs w:val="28"/>
        </w:rPr>
        <w:t>的单位兴办的集体企业，隶属关系填</w:t>
      </w:r>
      <w:r>
        <w:rPr>
          <w:sz w:val="28"/>
          <w:szCs w:val="28"/>
        </w:rPr>
        <w:t>“</w:t>
      </w:r>
      <w:r>
        <w:rPr>
          <w:rFonts w:hint="eastAsia"/>
          <w:sz w:val="28"/>
          <w:szCs w:val="28"/>
        </w:rPr>
        <w:t>其他</w:t>
      </w:r>
      <w:r>
        <w:rPr>
          <w:sz w:val="28"/>
          <w:szCs w:val="28"/>
        </w:rPr>
        <w:t>”</w:t>
      </w:r>
      <w:r>
        <w:rPr>
          <w:rFonts w:hint="eastAsia"/>
          <w:sz w:val="28"/>
          <w:szCs w:val="28"/>
        </w:rPr>
        <w:t>；省属以下的企业（单位）办的企业（单位），其隶属关系与企业（单位）本身的隶属关系一致。</w:t>
      </w:r>
    </w:p>
    <w:p>
      <w:pPr>
        <w:spacing w:line="360" w:lineRule="exact"/>
        <w:ind w:firstLine="560" w:firstLineChars="200"/>
        <w:rPr>
          <w:sz w:val="28"/>
          <w:szCs w:val="28"/>
        </w:rPr>
      </w:pPr>
      <w:r>
        <w:rPr>
          <w:rFonts w:hint="eastAsia"/>
          <w:sz w:val="28"/>
          <w:szCs w:val="28"/>
        </w:rPr>
        <w:t>无主管部门的单位、本省（自治区、直辖市）在外省（自治区、直辖市）的办事机构所开办的第三产业等单位填</w:t>
      </w:r>
      <w:r>
        <w:rPr>
          <w:sz w:val="28"/>
          <w:szCs w:val="28"/>
        </w:rPr>
        <w:t>“</w:t>
      </w:r>
      <w:r>
        <w:rPr>
          <w:rFonts w:hint="eastAsia"/>
          <w:sz w:val="28"/>
          <w:szCs w:val="28"/>
        </w:rPr>
        <w:t>其他</w:t>
      </w:r>
      <w:r>
        <w:rPr>
          <w:sz w:val="28"/>
          <w:szCs w:val="28"/>
        </w:rPr>
        <w:t>”</w:t>
      </w:r>
      <w:r>
        <w:rPr>
          <w:rFonts w:hint="eastAsia"/>
          <w:sz w:val="28"/>
          <w:szCs w:val="28"/>
        </w:rPr>
        <w:t>。</w:t>
      </w:r>
    </w:p>
    <w:p>
      <w:pPr>
        <w:spacing w:line="360" w:lineRule="exact"/>
        <w:ind w:firstLine="560" w:firstLineChars="200"/>
        <w:rPr>
          <w:sz w:val="28"/>
          <w:szCs w:val="28"/>
        </w:rPr>
      </w:pPr>
      <w:r>
        <w:rPr>
          <w:rFonts w:hint="eastAsia"/>
          <w:b/>
          <w:sz w:val="28"/>
          <w:szCs w:val="28"/>
        </w:rPr>
        <w:t>登记注册类型：</w:t>
      </w:r>
      <w:r>
        <w:rPr>
          <w:rFonts w:hint="eastAsia"/>
          <w:sz w:val="28"/>
          <w:szCs w:val="28"/>
        </w:rPr>
        <w:t>企业法人的登记注册类型，依据在工商行政管理机关登记注册的类型填写。工商行政管理部门对企业（单位）登记注册的类型分为以下几种：</w:t>
      </w:r>
    </w:p>
    <w:p>
      <w:pPr>
        <w:spacing w:line="360" w:lineRule="exact"/>
        <w:ind w:firstLine="560" w:firstLineChars="200"/>
        <w:rPr>
          <w:sz w:val="28"/>
          <w:szCs w:val="28"/>
        </w:rPr>
      </w:pPr>
      <w:r>
        <w:rPr>
          <w:sz w:val="28"/>
          <w:szCs w:val="28"/>
        </w:rPr>
        <w:t>1.</w:t>
      </w:r>
      <w:r>
        <w:rPr>
          <w:rFonts w:hint="eastAsia"/>
          <w:sz w:val="28"/>
          <w:szCs w:val="28"/>
        </w:rPr>
        <w:t>国有企业：指企业全部资产归国家所有，并按《中华人民共和国企业法人登记管理条例》规定登记注册的非公司制的经济组织。不包括有限责任公司中的国有独资公司。</w:t>
      </w:r>
    </w:p>
    <w:p>
      <w:pPr>
        <w:spacing w:line="360" w:lineRule="exact"/>
        <w:ind w:firstLine="560" w:firstLineChars="200"/>
        <w:rPr>
          <w:sz w:val="28"/>
          <w:szCs w:val="28"/>
        </w:rPr>
      </w:pPr>
      <w:r>
        <w:rPr>
          <w:sz w:val="28"/>
          <w:szCs w:val="28"/>
        </w:rPr>
        <w:t>2.</w:t>
      </w:r>
      <w:r>
        <w:rPr>
          <w:rFonts w:hint="eastAsia"/>
          <w:sz w:val="28"/>
          <w:szCs w:val="28"/>
        </w:rPr>
        <w:t>集体企业：指企业资产归集体所有，并按《中华人民共和国企业法人登记管理条例》规定登记注册的经济组织。</w:t>
      </w:r>
    </w:p>
    <w:p>
      <w:pPr>
        <w:spacing w:line="360" w:lineRule="exact"/>
        <w:ind w:firstLine="560" w:firstLineChars="200"/>
        <w:rPr>
          <w:sz w:val="28"/>
          <w:szCs w:val="28"/>
        </w:rPr>
      </w:pPr>
      <w:r>
        <w:rPr>
          <w:sz w:val="28"/>
          <w:szCs w:val="28"/>
        </w:rPr>
        <w:t>3.</w:t>
      </w:r>
      <w:r>
        <w:rPr>
          <w:rFonts w:hint="eastAsia"/>
          <w:sz w:val="28"/>
          <w:szCs w:val="28"/>
        </w:rPr>
        <w:t>股份合作企业：指以合作制为基础，由企业职工共同出资入股，吸收一定比例的社会资产投资组建，实行自主经营，自负盈亏，共同劳动，民主管理，按劳分配与按股分红相结合的一种集体经济组织。</w:t>
      </w:r>
    </w:p>
    <w:p>
      <w:pPr>
        <w:spacing w:line="360" w:lineRule="exact"/>
        <w:ind w:firstLine="560" w:firstLineChars="200"/>
        <w:rPr>
          <w:sz w:val="28"/>
          <w:szCs w:val="28"/>
        </w:rPr>
      </w:pPr>
      <w:r>
        <w:rPr>
          <w:sz w:val="28"/>
          <w:szCs w:val="28"/>
        </w:rPr>
        <w:t>4.</w:t>
      </w:r>
      <w:r>
        <w:rPr>
          <w:rFonts w:hint="eastAsia"/>
          <w:sz w:val="28"/>
          <w:szCs w:val="28"/>
        </w:rPr>
        <w:t>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spacing w:line="360" w:lineRule="exact"/>
        <w:ind w:firstLine="560" w:firstLineChars="200"/>
        <w:rPr>
          <w:sz w:val="28"/>
          <w:szCs w:val="28"/>
        </w:rPr>
      </w:pPr>
      <w:r>
        <w:rPr>
          <w:rFonts w:hint="eastAsia"/>
          <w:sz w:val="28"/>
          <w:szCs w:val="28"/>
        </w:rPr>
        <w:t>国有联营企业：指所有联营单位均为国有。</w:t>
      </w:r>
    </w:p>
    <w:p>
      <w:pPr>
        <w:spacing w:line="360" w:lineRule="exact"/>
        <w:ind w:firstLine="560" w:firstLineChars="200"/>
        <w:rPr>
          <w:sz w:val="28"/>
          <w:szCs w:val="28"/>
        </w:rPr>
      </w:pPr>
      <w:r>
        <w:rPr>
          <w:rFonts w:hint="eastAsia"/>
          <w:sz w:val="28"/>
          <w:szCs w:val="28"/>
        </w:rPr>
        <w:t>集体联营企业：指所有联营单位均为集体。</w:t>
      </w:r>
    </w:p>
    <w:p>
      <w:pPr>
        <w:spacing w:line="360" w:lineRule="exact"/>
        <w:ind w:firstLine="560" w:firstLineChars="200"/>
        <w:rPr>
          <w:sz w:val="28"/>
          <w:szCs w:val="28"/>
        </w:rPr>
      </w:pPr>
      <w:r>
        <w:rPr>
          <w:rFonts w:hint="eastAsia"/>
          <w:sz w:val="28"/>
          <w:szCs w:val="28"/>
        </w:rPr>
        <w:t>国有与集体联营企业：指联营单位既有国有也有集体。</w:t>
      </w:r>
    </w:p>
    <w:p>
      <w:pPr>
        <w:spacing w:line="360" w:lineRule="exact"/>
        <w:ind w:firstLine="560" w:firstLineChars="200"/>
        <w:rPr>
          <w:sz w:val="28"/>
          <w:szCs w:val="28"/>
        </w:rPr>
      </w:pPr>
      <w:r>
        <w:rPr>
          <w:rFonts w:hint="eastAsia"/>
          <w:sz w:val="28"/>
          <w:szCs w:val="28"/>
        </w:rPr>
        <w:t>其他联营企业：指上述三种联营企业之外的其他联营形式的企业。</w:t>
      </w:r>
    </w:p>
    <w:p>
      <w:pPr>
        <w:spacing w:line="360" w:lineRule="exact"/>
        <w:ind w:firstLine="560" w:firstLineChars="200"/>
        <w:rPr>
          <w:sz w:val="28"/>
          <w:szCs w:val="28"/>
        </w:rPr>
      </w:pPr>
      <w:r>
        <w:rPr>
          <w:sz w:val="28"/>
          <w:szCs w:val="28"/>
        </w:rPr>
        <w:t>5.</w:t>
      </w:r>
      <w:r>
        <w:rPr>
          <w:rFonts w:hint="eastAsia"/>
          <w:sz w:val="28"/>
          <w:szCs w:val="28"/>
        </w:rPr>
        <w:t>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pacing w:line="360" w:lineRule="exact"/>
        <w:ind w:firstLine="560" w:firstLineChars="200"/>
        <w:rPr>
          <w:sz w:val="28"/>
          <w:szCs w:val="28"/>
        </w:rPr>
      </w:pPr>
      <w:r>
        <w:rPr>
          <w:rFonts w:hint="eastAsia"/>
          <w:sz w:val="28"/>
          <w:szCs w:val="28"/>
        </w:rPr>
        <w:t>国有独资公司：指国家授权的投资机构或者国家授权的部门单独投资设立的有限责任公司。</w:t>
      </w:r>
    </w:p>
    <w:p>
      <w:pPr>
        <w:spacing w:line="360" w:lineRule="exact"/>
        <w:ind w:firstLine="560" w:firstLineChars="200"/>
        <w:rPr>
          <w:sz w:val="28"/>
          <w:szCs w:val="28"/>
        </w:rPr>
      </w:pPr>
      <w:r>
        <w:rPr>
          <w:rFonts w:hint="eastAsia"/>
          <w:sz w:val="28"/>
          <w:szCs w:val="28"/>
        </w:rPr>
        <w:t>其他有限责任公司：指国有独资公司以外的其他有限责任公司。</w:t>
      </w:r>
    </w:p>
    <w:p>
      <w:pPr>
        <w:spacing w:line="360" w:lineRule="exact"/>
        <w:ind w:firstLine="560" w:firstLineChars="200"/>
        <w:rPr>
          <w:sz w:val="28"/>
          <w:szCs w:val="28"/>
        </w:rPr>
      </w:pPr>
      <w:r>
        <w:rPr>
          <w:sz w:val="28"/>
          <w:szCs w:val="28"/>
        </w:rPr>
        <w:t>6.</w:t>
      </w:r>
      <w:r>
        <w:rPr>
          <w:rFonts w:hint="eastAsia"/>
          <w:sz w:val="28"/>
          <w:szCs w:val="28"/>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360" w:lineRule="exact"/>
        <w:ind w:firstLine="560" w:firstLineChars="200"/>
        <w:rPr>
          <w:sz w:val="28"/>
          <w:szCs w:val="28"/>
        </w:rPr>
      </w:pPr>
      <w:r>
        <w:rPr>
          <w:sz w:val="28"/>
          <w:szCs w:val="28"/>
        </w:rPr>
        <w:t>7.</w:t>
      </w:r>
      <w:r>
        <w:rPr>
          <w:rFonts w:hint="eastAsia"/>
          <w:sz w:val="28"/>
          <w:szCs w:val="28"/>
        </w:rPr>
        <w:t>私营企业：指由自然人投资设立或由自然人控股，以雇佣劳动为基础的营利性经济组织。包括按照《公司法》、《合伙企业法》、《私营企业暂行条例》以及《个人独资企业法》规定登记注册的私营独资企业、私营合伙企业、私营有限责任公司、私营股份有限公司和个人独资企业。</w:t>
      </w:r>
    </w:p>
    <w:p>
      <w:pPr>
        <w:spacing w:line="360" w:lineRule="exact"/>
        <w:ind w:firstLine="560" w:firstLineChars="200"/>
        <w:rPr>
          <w:sz w:val="28"/>
          <w:szCs w:val="28"/>
        </w:rPr>
      </w:pPr>
      <w:r>
        <w:rPr>
          <w:rFonts w:hint="eastAsia"/>
          <w:sz w:val="28"/>
          <w:szCs w:val="28"/>
        </w:rPr>
        <w:t>私营独资企业：指按《私营企业暂行条例》的规定，由一名自然人投资经营，以雇佣劳动为基础，投资者对企业债务承担无限责任的企业。</w:t>
      </w:r>
    </w:p>
    <w:p>
      <w:pPr>
        <w:spacing w:line="360" w:lineRule="exact"/>
        <w:ind w:firstLine="560" w:firstLineChars="200"/>
        <w:rPr>
          <w:sz w:val="28"/>
          <w:szCs w:val="28"/>
        </w:rPr>
      </w:pPr>
      <w:r>
        <w:rPr>
          <w:rFonts w:hint="eastAsia"/>
          <w:sz w:val="28"/>
          <w:szCs w:val="28"/>
        </w:rPr>
        <w:t>私营合伙企业：指按《合伙企业法》或《私营企业暂行条例》的规定，由两个以上自然人按照协议共同投资、共同经营、共负盈亏，以雇佣劳动为基础，对债务承担无限责任的企业。</w:t>
      </w:r>
    </w:p>
    <w:p>
      <w:pPr>
        <w:spacing w:line="360" w:lineRule="exact"/>
        <w:ind w:firstLine="560" w:firstLineChars="200"/>
        <w:rPr>
          <w:sz w:val="28"/>
          <w:szCs w:val="28"/>
        </w:rPr>
      </w:pPr>
      <w:r>
        <w:rPr>
          <w:rFonts w:hint="eastAsia"/>
          <w:sz w:val="28"/>
          <w:szCs w:val="28"/>
        </w:rPr>
        <w:t>私营有限责任公司：指按《公司法》、《私营企业暂行条例》的规定，由两个以上自然人投资或由单个自然人控股的有限责任公司。</w:t>
      </w:r>
    </w:p>
    <w:p>
      <w:pPr>
        <w:spacing w:line="360" w:lineRule="exact"/>
        <w:ind w:firstLine="560" w:firstLineChars="200"/>
        <w:rPr>
          <w:sz w:val="28"/>
          <w:szCs w:val="28"/>
        </w:rPr>
      </w:pPr>
      <w:r>
        <w:rPr>
          <w:rFonts w:hint="eastAsia"/>
          <w:sz w:val="28"/>
          <w:szCs w:val="28"/>
        </w:rPr>
        <w:t>私营股份有限公司：指按《公司法》的规定，由五个以上自然人投资，或由单个自然人控股的股份有限公司。</w:t>
      </w:r>
    </w:p>
    <w:p>
      <w:pPr>
        <w:spacing w:line="360" w:lineRule="exact"/>
        <w:ind w:firstLine="560" w:firstLineChars="200"/>
        <w:rPr>
          <w:sz w:val="28"/>
          <w:szCs w:val="28"/>
        </w:rPr>
      </w:pPr>
      <w:r>
        <w:rPr>
          <w:rFonts w:hint="eastAsia"/>
          <w:sz w:val="28"/>
          <w:szCs w:val="28"/>
        </w:rPr>
        <w:t>个人独资企业：指按《个人独资企业法》、《个人独资企业登记管理办法》的规定，由一个自然人投资，财产为投资人个人所有，投资人以其个人财产对企业债务承担无限责任的经营实体。个人独资企业填表时归入私营独资企业。</w:t>
      </w:r>
    </w:p>
    <w:p>
      <w:pPr>
        <w:spacing w:line="360" w:lineRule="exact"/>
        <w:ind w:firstLine="560" w:firstLineChars="200"/>
        <w:rPr>
          <w:sz w:val="28"/>
          <w:szCs w:val="28"/>
        </w:rPr>
      </w:pPr>
      <w:r>
        <w:rPr>
          <w:sz w:val="28"/>
          <w:szCs w:val="28"/>
        </w:rPr>
        <w:t>8.</w:t>
      </w:r>
      <w:r>
        <w:rPr>
          <w:rFonts w:hint="eastAsia"/>
          <w:sz w:val="28"/>
          <w:szCs w:val="28"/>
        </w:rPr>
        <w:t>其他内资企业：指上述第（</w:t>
      </w:r>
      <w:r>
        <w:rPr>
          <w:sz w:val="28"/>
          <w:szCs w:val="28"/>
        </w:rPr>
        <w:t>1</w:t>
      </w:r>
      <w:r>
        <w:rPr>
          <w:rFonts w:hint="eastAsia"/>
          <w:sz w:val="28"/>
          <w:szCs w:val="28"/>
        </w:rPr>
        <w:t>）条至第（</w:t>
      </w:r>
      <w:r>
        <w:rPr>
          <w:sz w:val="28"/>
          <w:szCs w:val="28"/>
        </w:rPr>
        <w:t>7</w:t>
      </w:r>
      <w:r>
        <w:rPr>
          <w:rFonts w:hint="eastAsia"/>
          <w:sz w:val="28"/>
          <w:szCs w:val="28"/>
        </w:rPr>
        <w:t>）条之外的其他内资经济组织。</w:t>
      </w:r>
    </w:p>
    <w:p>
      <w:pPr>
        <w:spacing w:line="360" w:lineRule="exact"/>
        <w:ind w:firstLine="560" w:firstLineChars="200"/>
        <w:rPr>
          <w:sz w:val="28"/>
          <w:szCs w:val="28"/>
        </w:rPr>
      </w:pPr>
      <w:r>
        <w:rPr>
          <w:sz w:val="28"/>
          <w:szCs w:val="28"/>
        </w:rPr>
        <w:t>9.</w:t>
      </w:r>
      <w:r>
        <w:rPr>
          <w:rFonts w:hint="eastAsia"/>
          <w:sz w:val="28"/>
          <w:szCs w:val="28"/>
        </w:rPr>
        <w:t>与港澳台商合资经营企业：指港澳台地区投资者与内地的企业依照《中华人民共和国中外合资经营企业法》及有关法律的规定，按合同规定的比例投资设立，分享利润和分担风险的企业。</w:t>
      </w:r>
    </w:p>
    <w:p>
      <w:pPr>
        <w:spacing w:line="360" w:lineRule="exact"/>
        <w:ind w:firstLine="560" w:firstLineChars="200"/>
        <w:rPr>
          <w:sz w:val="28"/>
          <w:szCs w:val="28"/>
        </w:rPr>
      </w:pPr>
      <w:r>
        <w:rPr>
          <w:sz w:val="28"/>
          <w:szCs w:val="28"/>
        </w:rPr>
        <w:t>10.</w:t>
      </w:r>
      <w:r>
        <w:rPr>
          <w:rFonts w:hint="eastAsia"/>
          <w:sz w:val="28"/>
          <w:szCs w:val="28"/>
        </w:rPr>
        <w:t>与港澳台商合作经营企业：指港澳台地区投资者与内地企业依照《中华人民共和国中外合作经营企业法》及有关法律的规定，依照合作合同的约定进行投资或提供条件设立，分配利润、分担风险和亏损的企业。</w:t>
      </w:r>
    </w:p>
    <w:p>
      <w:pPr>
        <w:spacing w:line="360" w:lineRule="exact"/>
        <w:ind w:firstLine="560" w:firstLineChars="200"/>
        <w:rPr>
          <w:sz w:val="28"/>
          <w:szCs w:val="28"/>
        </w:rPr>
      </w:pPr>
      <w:r>
        <w:rPr>
          <w:sz w:val="28"/>
          <w:szCs w:val="28"/>
        </w:rPr>
        <w:t>11.</w:t>
      </w:r>
      <w:r>
        <w:rPr>
          <w:rFonts w:hint="eastAsia"/>
          <w:sz w:val="28"/>
          <w:szCs w:val="28"/>
        </w:rPr>
        <w:t>港澳台商独资经营企业：指依照《中华人民共和国外资企业法》及有关法律的规定，在内地由港澳台地区投资者全额投资设立的企业。</w:t>
      </w:r>
    </w:p>
    <w:p>
      <w:pPr>
        <w:spacing w:line="360" w:lineRule="exact"/>
        <w:ind w:firstLine="560" w:firstLineChars="200"/>
        <w:rPr>
          <w:sz w:val="28"/>
          <w:szCs w:val="28"/>
        </w:rPr>
      </w:pPr>
      <w:r>
        <w:rPr>
          <w:sz w:val="28"/>
          <w:szCs w:val="28"/>
        </w:rPr>
        <w:t>12.</w:t>
      </w:r>
      <w:r>
        <w:rPr>
          <w:rFonts w:hint="eastAsia"/>
          <w:sz w:val="28"/>
          <w:szCs w:val="28"/>
        </w:rPr>
        <w:t>港澳台商投资股份有限公司：指根据国家有关规定，经商务部（原外经贸部）批准设立，并且其中港、澳、台商的股本占公司注册资本的比例达</w:t>
      </w:r>
      <w:r>
        <w:rPr>
          <w:sz w:val="28"/>
          <w:szCs w:val="28"/>
        </w:rPr>
        <w:t>25%</w:t>
      </w:r>
      <w:r>
        <w:rPr>
          <w:rFonts w:hint="eastAsia"/>
          <w:sz w:val="28"/>
          <w:szCs w:val="28"/>
        </w:rPr>
        <w:t>以上的股份有限公司。凡其中港、澳、台商的股本占公司注册资本的比例小于</w:t>
      </w:r>
      <w:r>
        <w:rPr>
          <w:sz w:val="28"/>
          <w:szCs w:val="28"/>
        </w:rPr>
        <w:t>25%</w:t>
      </w:r>
      <w:r>
        <w:rPr>
          <w:rFonts w:hint="eastAsia"/>
          <w:sz w:val="28"/>
          <w:szCs w:val="28"/>
        </w:rPr>
        <w:t>的，属于内资中的股份有限公司。</w:t>
      </w:r>
    </w:p>
    <w:p>
      <w:pPr>
        <w:spacing w:line="360" w:lineRule="exact"/>
        <w:ind w:firstLine="560" w:firstLineChars="200"/>
        <w:rPr>
          <w:sz w:val="28"/>
          <w:szCs w:val="28"/>
        </w:rPr>
      </w:pPr>
      <w:r>
        <w:rPr>
          <w:sz w:val="28"/>
          <w:szCs w:val="28"/>
        </w:rPr>
        <w:t>13.</w:t>
      </w:r>
      <w:r>
        <w:rPr>
          <w:rFonts w:hint="eastAsia"/>
          <w:sz w:val="28"/>
          <w:szCs w:val="28"/>
        </w:rPr>
        <w:t>其他港、澳、台商投资企业：指在中国境内参照《外国企业或个人在中国境内设立合伙企业管理办法》和《外商投资合伙企业登记管理规定》，依法设立的港、澳、台商投资合伙企业等。</w:t>
      </w:r>
    </w:p>
    <w:p>
      <w:pPr>
        <w:spacing w:line="360" w:lineRule="exact"/>
        <w:ind w:firstLine="560" w:firstLineChars="200"/>
        <w:rPr>
          <w:sz w:val="28"/>
          <w:szCs w:val="28"/>
        </w:rPr>
      </w:pPr>
      <w:r>
        <w:rPr>
          <w:sz w:val="28"/>
          <w:szCs w:val="28"/>
        </w:rPr>
        <w:t>14.</w:t>
      </w:r>
      <w:r>
        <w:rPr>
          <w:rFonts w:hint="eastAsia"/>
          <w:sz w:val="28"/>
          <w:szCs w:val="28"/>
        </w:rPr>
        <w:t>中外合资经营企业：指外国企业或外国人与中国内地企业依照《中华人民共和国中外合资经营企业法》及有关法律的规定，按合同规定的比例投资设立，分享利润和分担风险的企业。</w:t>
      </w:r>
    </w:p>
    <w:p>
      <w:pPr>
        <w:spacing w:line="360" w:lineRule="exact"/>
        <w:ind w:firstLine="560" w:firstLineChars="200"/>
        <w:rPr>
          <w:sz w:val="28"/>
          <w:szCs w:val="28"/>
        </w:rPr>
      </w:pPr>
      <w:r>
        <w:rPr>
          <w:sz w:val="28"/>
          <w:szCs w:val="28"/>
        </w:rPr>
        <w:t>15.</w:t>
      </w:r>
      <w:r>
        <w:rPr>
          <w:rFonts w:hint="eastAsia"/>
          <w:sz w:val="28"/>
          <w:szCs w:val="28"/>
        </w:rPr>
        <w:t>中外合作经营企业：指外国企业或外国人与中国内地企业依照《中华人民共和国中外合作经营企业法》及有关法律的规定，依照合作合同的约定进行投资或提供条件设立，分配利润、分担风险和亏损的企业。</w:t>
      </w:r>
    </w:p>
    <w:p>
      <w:pPr>
        <w:spacing w:line="360" w:lineRule="exact"/>
        <w:ind w:firstLine="560" w:firstLineChars="200"/>
        <w:rPr>
          <w:sz w:val="28"/>
          <w:szCs w:val="28"/>
        </w:rPr>
      </w:pPr>
      <w:r>
        <w:rPr>
          <w:sz w:val="28"/>
          <w:szCs w:val="28"/>
        </w:rPr>
        <w:t>16.</w:t>
      </w:r>
      <w:r>
        <w:rPr>
          <w:rFonts w:hint="eastAsia"/>
          <w:sz w:val="28"/>
          <w:szCs w:val="28"/>
        </w:rPr>
        <w:t>外资企业：指依照《中华人民共和国外资企业法》及有关法律的规定，在中国内地由外国投资者全额投资设立的企业。</w:t>
      </w:r>
    </w:p>
    <w:p>
      <w:pPr>
        <w:spacing w:line="360" w:lineRule="exact"/>
        <w:ind w:firstLine="560" w:firstLineChars="200"/>
        <w:rPr>
          <w:sz w:val="28"/>
          <w:szCs w:val="28"/>
        </w:rPr>
      </w:pPr>
      <w:r>
        <w:rPr>
          <w:sz w:val="28"/>
          <w:szCs w:val="28"/>
        </w:rPr>
        <w:t>17.</w:t>
      </w:r>
      <w:r>
        <w:rPr>
          <w:rFonts w:hint="eastAsia"/>
          <w:sz w:val="28"/>
          <w:szCs w:val="28"/>
        </w:rPr>
        <w:t>外商投资股份有限公司：指根据国家有关规定，经商务部（原外经贸部）批准设立，并且其中外资的股本占公司注册资本的比例达</w:t>
      </w:r>
      <w:r>
        <w:rPr>
          <w:sz w:val="28"/>
          <w:szCs w:val="28"/>
        </w:rPr>
        <w:t>25%</w:t>
      </w:r>
      <w:r>
        <w:rPr>
          <w:rFonts w:hint="eastAsia"/>
          <w:sz w:val="28"/>
          <w:szCs w:val="28"/>
        </w:rPr>
        <w:t>以上的股份有限公司。凡其中外资股本占公司注册资本的比例小于</w:t>
      </w:r>
      <w:r>
        <w:rPr>
          <w:sz w:val="28"/>
          <w:szCs w:val="28"/>
        </w:rPr>
        <w:t>25%</w:t>
      </w:r>
      <w:r>
        <w:rPr>
          <w:rFonts w:hint="eastAsia"/>
          <w:sz w:val="28"/>
          <w:szCs w:val="28"/>
        </w:rPr>
        <w:t>的，属于内资中的股份有限公司。</w:t>
      </w:r>
    </w:p>
    <w:p>
      <w:pPr>
        <w:spacing w:line="360" w:lineRule="exact"/>
        <w:ind w:firstLine="560" w:firstLineChars="200"/>
        <w:rPr>
          <w:sz w:val="28"/>
          <w:szCs w:val="28"/>
        </w:rPr>
      </w:pPr>
      <w:r>
        <w:rPr>
          <w:sz w:val="28"/>
          <w:szCs w:val="28"/>
        </w:rPr>
        <w:t>18.</w:t>
      </w:r>
      <w:r>
        <w:rPr>
          <w:rFonts w:hint="eastAsia"/>
          <w:sz w:val="28"/>
          <w:szCs w:val="28"/>
        </w:rPr>
        <w:t>其他外商投资企业：指在中国境内依照《外国企业或个人在中国境内设立合伙企业管理办法》和《外商投资合伙企业登记管理规定》，依法设立的外商投资合伙企业等。</w:t>
      </w:r>
    </w:p>
    <w:p>
      <w:pPr>
        <w:spacing w:line="360" w:lineRule="exact"/>
        <w:ind w:firstLine="422"/>
        <w:rPr>
          <w:sz w:val="28"/>
          <w:szCs w:val="28"/>
        </w:rPr>
      </w:pPr>
      <w:r>
        <w:rPr>
          <w:rFonts w:hint="eastAsia"/>
          <w:b/>
          <w:sz w:val="28"/>
          <w:szCs w:val="28"/>
        </w:rPr>
        <w:t>企业从业人员平均人数：</w:t>
      </w:r>
      <w:r>
        <w:rPr>
          <w:rFonts w:hint="eastAsia"/>
          <w:sz w:val="28"/>
          <w:szCs w:val="28"/>
        </w:rPr>
        <w:t>指报告期内（年度、本季）企业平均拥有的从业人员数。本季以及年度平均人数按单位实际月平均人数计算得到，不得用期末人数替代。</w:t>
      </w:r>
    </w:p>
    <w:p>
      <w:pPr>
        <w:pStyle w:val="3"/>
        <w:spacing w:after="0" w:line="360" w:lineRule="exact"/>
        <w:ind w:firstLine="560" w:firstLineChars="200"/>
        <w:rPr>
          <w:sz w:val="28"/>
          <w:szCs w:val="28"/>
        </w:rPr>
      </w:pPr>
      <w:r>
        <w:rPr>
          <w:sz w:val="28"/>
          <w:szCs w:val="28"/>
        </w:rPr>
        <w:t>1.</w:t>
      </w:r>
      <w:r>
        <w:rPr>
          <w:rFonts w:hint="eastAsia"/>
          <w:sz w:val="28"/>
          <w:szCs w:val="28"/>
        </w:rPr>
        <w:t>本季平均人数以报告季内三个月的平均人数之和除以</w:t>
      </w:r>
      <w:r>
        <w:rPr>
          <w:sz w:val="28"/>
          <w:szCs w:val="28"/>
        </w:rPr>
        <w:t>3</w:t>
      </w:r>
      <w:r>
        <w:rPr>
          <w:rFonts w:hint="eastAsia"/>
          <w:sz w:val="28"/>
          <w:szCs w:val="28"/>
        </w:rPr>
        <w:t>求得。计算公式为：</w:t>
      </w:r>
    </w:p>
    <w:p>
      <w:pPr>
        <w:pStyle w:val="3"/>
        <w:spacing w:after="0"/>
        <w:ind w:firstLine="560" w:firstLineChars="200"/>
        <w:rPr>
          <w:sz w:val="28"/>
          <w:szCs w:val="28"/>
        </w:rPr>
      </w:pPr>
      <w:r>
        <w:rPr>
          <w:rFonts w:hint="eastAsia"/>
          <w:position w:val="-22"/>
          <w:sz w:val="28"/>
          <w:szCs w:val="28"/>
        </w:rPr>
        <w:object>
          <v:shape id="_x0000_i1025" o:spt="75" type="#_x0000_t75" style="height:28.4pt;width:214.25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p>
    <w:p>
      <w:pPr>
        <w:spacing w:line="360" w:lineRule="exact"/>
        <w:ind w:firstLine="560" w:firstLineChars="200"/>
        <w:rPr>
          <w:sz w:val="28"/>
          <w:szCs w:val="28"/>
        </w:rPr>
      </w:pPr>
      <w:r>
        <w:rPr>
          <w:rFonts w:hint="eastAsia"/>
          <w:sz w:val="28"/>
          <w:szCs w:val="28"/>
        </w:rPr>
        <w:t>其中，月平均人数以报告期内，各自然月内每天实有的全部人数相加之和，除以该月日历日数。计算公式为：</w:t>
      </w:r>
    </w:p>
    <w:p>
      <w:pPr>
        <w:pStyle w:val="3"/>
        <w:spacing w:after="0"/>
        <w:ind w:firstLine="560" w:firstLineChars="200"/>
        <w:rPr>
          <w:sz w:val="28"/>
          <w:szCs w:val="28"/>
        </w:rPr>
      </w:pPr>
      <w:r>
        <w:rPr>
          <w:rFonts w:hint="eastAsia"/>
          <w:position w:val="-24"/>
          <w:sz w:val="28"/>
          <w:szCs w:val="28"/>
        </w:rPr>
        <w:object>
          <v:shape id="_x0000_i1026" o:spt="75" type="#_x0000_t75" style="height:30pt;width:224.9pt;" o:ole="t" filled="f" o:preferrelative="t" stroked="f" coordsize="21600,21600">
            <v:path/>
            <v:fill on="f" focussize="0,0"/>
            <v:stroke on="f"/>
            <v:imagedata r:id="rId7" o:title=""/>
            <o:lock v:ext="edit" aspectratio="t"/>
            <w10:wrap type="none"/>
            <w10:anchorlock/>
          </v:shape>
          <o:OLEObject Type="Embed" ProgID="Equation.3" ShapeID="_x0000_i1026" DrawAspect="Content" ObjectID="_1468075726" r:id="rId6">
            <o:LockedField>false</o:LockedField>
          </o:OLEObject>
        </w:object>
      </w:r>
    </w:p>
    <w:p>
      <w:pPr>
        <w:snapToGrid w:val="0"/>
        <w:spacing w:line="360" w:lineRule="exact"/>
        <w:ind w:firstLine="560" w:firstLineChars="200"/>
        <w:rPr>
          <w:sz w:val="28"/>
          <w:szCs w:val="28"/>
        </w:rPr>
      </w:pPr>
      <w:r>
        <w:rPr>
          <w:rFonts w:hint="eastAsia"/>
          <w:sz w:val="28"/>
          <w:szCs w:val="28"/>
        </w:rPr>
        <w:t>对人员增减变动很小的单位，其月平均人数也可以用月初人数与月末人数之和除以</w:t>
      </w:r>
      <w:r>
        <w:rPr>
          <w:sz w:val="28"/>
          <w:szCs w:val="28"/>
        </w:rPr>
        <w:t>2</w:t>
      </w:r>
      <w:r>
        <w:rPr>
          <w:rFonts w:hint="eastAsia"/>
          <w:sz w:val="28"/>
          <w:szCs w:val="28"/>
        </w:rPr>
        <w:t>求得。计算公式为：</w:t>
      </w:r>
    </w:p>
    <w:p>
      <w:pPr>
        <w:pStyle w:val="3"/>
        <w:spacing w:after="0"/>
        <w:ind w:firstLine="560" w:firstLineChars="200"/>
        <w:rPr>
          <w:sz w:val="28"/>
          <w:szCs w:val="28"/>
        </w:rPr>
      </w:pPr>
      <w:r>
        <w:rPr>
          <w:rFonts w:hint="eastAsia"/>
          <w:position w:val="-24"/>
          <w:sz w:val="28"/>
          <w:szCs w:val="28"/>
        </w:rPr>
        <w:object>
          <v:shape id="_x0000_i1027" o:spt="75" type="#_x0000_t75" style="height:26.85pt;width:152.6pt;" o:ole="t" filled="f" o:preferrelative="t" stroked="f" coordsize="21600,21600">
            <v:path/>
            <v:fill on="f" focussize="0,0"/>
            <v:stroke on="f"/>
            <v:imagedata r:id="rId9" o:title=""/>
            <o:lock v:ext="edit" aspectratio="t"/>
            <w10:wrap type="none"/>
            <w10:anchorlock/>
          </v:shape>
          <o:OLEObject Type="Embed" ProgID="Equation.3" ShapeID="_x0000_i1027" DrawAspect="Content" ObjectID="_1468075727" r:id="rId8">
            <o:LockedField>false</o:LockedField>
          </o:OLEObject>
        </w:object>
      </w:r>
    </w:p>
    <w:p>
      <w:pPr>
        <w:spacing w:line="360" w:lineRule="exact"/>
        <w:ind w:firstLine="560" w:firstLineChars="200"/>
        <w:rPr>
          <w:sz w:val="28"/>
          <w:szCs w:val="28"/>
        </w:rPr>
      </w:pPr>
      <w:r>
        <w:rPr>
          <w:rFonts w:hint="eastAsia"/>
          <w:sz w:val="28"/>
          <w:szCs w:val="28"/>
        </w:rPr>
        <w:t>在计算月平均人数时应注意：</w:t>
      </w:r>
    </w:p>
    <w:p>
      <w:pPr>
        <w:spacing w:line="360" w:lineRule="exact"/>
        <w:ind w:firstLine="560" w:firstLineChars="200"/>
        <w:rPr>
          <w:sz w:val="28"/>
          <w:szCs w:val="28"/>
        </w:rPr>
      </w:pPr>
      <w:r>
        <w:rPr>
          <w:rFonts w:hint="eastAsia"/>
          <w:sz w:val="28"/>
          <w:szCs w:val="28"/>
        </w:rPr>
        <w:t>（</w:t>
      </w:r>
      <w:r>
        <w:rPr>
          <w:sz w:val="28"/>
          <w:szCs w:val="28"/>
        </w:rPr>
        <w:t>1</w:t>
      </w:r>
      <w:r>
        <w:rPr>
          <w:rFonts w:hint="eastAsia"/>
          <w:sz w:val="28"/>
          <w:szCs w:val="28"/>
        </w:rPr>
        <w:t>）公休日与节假日的人数应按前一天的人数计算。</w:t>
      </w:r>
    </w:p>
    <w:p>
      <w:pPr>
        <w:spacing w:line="360" w:lineRule="exact"/>
        <w:ind w:firstLine="560" w:firstLineChars="200"/>
        <w:rPr>
          <w:sz w:val="28"/>
          <w:szCs w:val="28"/>
        </w:rPr>
      </w:pPr>
      <w:r>
        <w:rPr>
          <w:rFonts w:hint="eastAsia"/>
          <w:sz w:val="28"/>
          <w:szCs w:val="28"/>
        </w:rPr>
        <w:t>（</w:t>
      </w:r>
      <w:r>
        <w:rPr>
          <w:sz w:val="28"/>
          <w:szCs w:val="28"/>
        </w:rPr>
        <w:t>2</w:t>
      </w:r>
      <w:r>
        <w:rPr>
          <w:rFonts w:hint="eastAsia"/>
          <w:sz w:val="28"/>
          <w:szCs w:val="28"/>
        </w:rPr>
        <w:t>）对新建立不满整月的单位（月中或月末建立），在计算报告月的平均人数时，应以其建立后各天实有人数之和，除以报告期日历日数求得，而不能除以该单位建立的天数。</w:t>
      </w:r>
    </w:p>
    <w:p>
      <w:pPr>
        <w:spacing w:line="400" w:lineRule="atLeast"/>
        <w:ind w:firstLine="560" w:firstLineChars="200"/>
        <w:rPr>
          <w:sz w:val="28"/>
          <w:szCs w:val="28"/>
        </w:rPr>
      </w:pPr>
      <w:r>
        <w:rPr>
          <w:sz w:val="28"/>
          <w:szCs w:val="28"/>
        </w:rPr>
        <w:t>2.</w:t>
      </w:r>
      <w:r>
        <w:rPr>
          <w:rFonts w:hint="eastAsia"/>
          <w:sz w:val="28"/>
          <w:szCs w:val="28"/>
        </w:rPr>
        <w:t>年平均人数是以</w:t>
      </w:r>
      <w:r>
        <w:rPr>
          <w:sz w:val="28"/>
          <w:szCs w:val="28"/>
        </w:rPr>
        <w:t>12</w:t>
      </w:r>
      <w:r>
        <w:rPr>
          <w:rFonts w:hint="eastAsia"/>
          <w:sz w:val="28"/>
          <w:szCs w:val="28"/>
        </w:rPr>
        <w:t>个月的平均人数相加之和除以</w:t>
      </w:r>
      <w:r>
        <w:rPr>
          <w:sz w:val="28"/>
          <w:szCs w:val="28"/>
        </w:rPr>
        <w:t>12</w:t>
      </w:r>
      <w:r>
        <w:rPr>
          <w:rFonts w:hint="eastAsia"/>
          <w:sz w:val="28"/>
          <w:szCs w:val="28"/>
        </w:rPr>
        <w:t>求得，或以</w:t>
      </w:r>
      <w:r>
        <w:rPr>
          <w:sz w:val="28"/>
          <w:szCs w:val="28"/>
        </w:rPr>
        <w:t>4</w:t>
      </w:r>
      <w:r>
        <w:rPr>
          <w:rFonts w:hint="eastAsia"/>
          <w:sz w:val="28"/>
          <w:szCs w:val="28"/>
        </w:rPr>
        <w:t>个季度的平均人数之和除以</w:t>
      </w:r>
      <w:r>
        <w:rPr>
          <w:sz w:val="28"/>
          <w:szCs w:val="28"/>
        </w:rPr>
        <w:t>4</w:t>
      </w:r>
      <w:r>
        <w:rPr>
          <w:rFonts w:hint="eastAsia"/>
          <w:sz w:val="28"/>
          <w:szCs w:val="28"/>
        </w:rPr>
        <w:t>求得。计算公式为：</w:t>
      </w:r>
    </w:p>
    <w:p>
      <w:pPr>
        <w:pStyle w:val="3"/>
        <w:spacing w:after="0"/>
        <w:ind w:firstLine="560" w:firstLineChars="200"/>
        <w:rPr>
          <w:sz w:val="28"/>
          <w:szCs w:val="28"/>
        </w:rPr>
      </w:pPr>
      <w:r>
        <w:rPr>
          <w:rFonts w:hint="eastAsia"/>
          <w:position w:val="-22"/>
          <w:sz w:val="28"/>
          <w:szCs w:val="28"/>
        </w:rPr>
        <w:object>
          <v:shape id="_x0000_i1028" o:spt="75" type="#_x0000_t75" style="height:28.4pt;width:210.1pt;" o:ole="t" filled="f" o:preferrelative="t" stroked="f" coordsize="21600,21600">
            <v:path/>
            <v:fill on="f" focussize="0,0"/>
            <v:stroke on="f"/>
            <v:imagedata r:id="rId11" o:title=""/>
            <o:lock v:ext="edit" aspectratio="t"/>
            <w10:wrap type="none"/>
            <w10:anchorlock/>
          </v:shape>
          <o:OLEObject Type="Embed" ProgID="Equation.3" ShapeID="_x0000_i1028" DrawAspect="Content" ObjectID="_1468075728" r:id="rId10">
            <o:LockedField>false</o:LockedField>
          </o:OLEObject>
        </w:object>
      </w:r>
    </w:p>
    <w:p>
      <w:pPr>
        <w:pStyle w:val="5"/>
        <w:spacing w:line="360" w:lineRule="auto"/>
        <w:ind w:left="0" w:firstLine="560" w:firstLineChars="200"/>
        <w:rPr>
          <w:bCs/>
          <w:sz w:val="28"/>
          <w:szCs w:val="28"/>
        </w:rPr>
      </w:pPr>
      <w:r>
        <w:rPr>
          <w:rFonts w:hint="eastAsia"/>
          <w:bCs/>
          <w:sz w:val="28"/>
          <w:szCs w:val="28"/>
        </w:rPr>
        <w:t>或：</w:t>
      </w:r>
    </w:p>
    <w:p>
      <w:pPr>
        <w:pStyle w:val="3"/>
        <w:spacing w:after="0"/>
        <w:ind w:firstLine="560" w:firstLineChars="200"/>
        <w:rPr>
          <w:sz w:val="28"/>
          <w:szCs w:val="28"/>
        </w:rPr>
      </w:pPr>
      <w:r>
        <w:rPr>
          <w:rFonts w:hint="eastAsia"/>
          <w:position w:val="-22"/>
          <w:sz w:val="28"/>
          <w:szCs w:val="28"/>
        </w:rPr>
        <w:object>
          <v:shape id="_x0000_i1029" o:spt="75" type="#_x0000_t75" style="height:28.4pt;width:209pt;" o:ole="t" filled="f" o:preferrelative="t" stroked="f" coordsize="21600,21600">
            <v:path/>
            <v:fill on="f" focussize="0,0"/>
            <v:stroke on="f"/>
            <v:imagedata r:id="rId13" o:title=""/>
            <o:lock v:ext="edit" aspectratio="t"/>
            <w10:wrap type="none"/>
            <w10:anchorlock/>
          </v:shape>
          <o:OLEObject Type="Embed" ProgID="Equation.3" ShapeID="_x0000_i1029" DrawAspect="Content" ObjectID="_1468075729" r:id="rId12">
            <o:LockedField>false</o:LockedField>
          </o:OLEObject>
        </w:object>
      </w:r>
    </w:p>
    <w:p>
      <w:pPr>
        <w:ind w:firstLine="560" w:firstLineChars="200"/>
        <w:rPr>
          <w:sz w:val="28"/>
          <w:szCs w:val="28"/>
        </w:rPr>
      </w:pPr>
      <w:r>
        <w:rPr>
          <w:rFonts w:hint="eastAsia"/>
          <w:sz w:val="28"/>
          <w:szCs w:val="28"/>
        </w:rPr>
        <w:t>在年内新成立的单位年平均人数计算方法为：从实际开工之月起到年底的月平均人数相加除以</w:t>
      </w:r>
      <w:r>
        <w:rPr>
          <w:sz w:val="28"/>
          <w:szCs w:val="28"/>
        </w:rPr>
        <w:t>12</w:t>
      </w:r>
      <w:r>
        <w:rPr>
          <w:rFonts w:hint="eastAsia"/>
          <w:sz w:val="28"/>
          <w:szCs w:val="28"/>
        </w:rPr>
        <w:t>个月。计算公式为：</w:t>
      </w:r>
    </w:p>
    <w:p>
      <w:pPr>
        <w:spacing w:line="360" w:lineRule="auto"/>
        <w:ind w:firstLine="560" w:firstLineChars="200"/>
        <w:rPr>
          <w:sz w:val="28"/>
          <w:szCs w:val="28"/>
        </w:rPr>
      </w:pPr>
      <w:r>
        <w:rPr>
          <w:position w:val="-22"/>
          <w:sz w:val="28"/>
          <w:szCs w:val="28"/>
        </w:rPr>
        <w:object>
          <v:shape id="_x0000_i1030" o:spt="75" type="#_x0000_t75" style="height:28.4pt;width:235.2pt;" o:ole="t" filled="f" o:preferrelative="t" stroked="f" coordsize="21600,21600">
            <v:path/>
            <v:fill on="f" focussize="0,0"/>
            <v:stroke on="f"/>
            <v:imagedata r:id="rId15" o:title=""/>
            <o:lock v:ext="edit" aspectratio="t"/>
            <w10:wrap type="none"/>
            <w10:anchorlock/>
          </v:shape>
          <o:OLEObject Type="Embed" ProgID="Equation.3" ShapeID="_x0000_i1030" DrawAspect="Content" ObjectID="_1468075730" r:id="rId14">
            <o:LockedField>false</o:LockedField>
          </o:OLEObject>
        </w:object>
      </w:r>
    </w:p>
    <w:p>
      <w:pPr>
        <w:ind w:firstLine="560" w:firstLineChars="200"/>
        <w:rPr>
          <w:rFonts w:eastAsia="仿宋"/>
          <w:sz w:val="28"/>
          <w:szCs w:val="28"/>
        </w:rPr>
      </w:pPr>
      <w:r>
        <w:rPr>
          <w:rFonts w:hint="eastAsia"/>
          <w:b/>
          <w:sz w:val="28"/>
          <w:szCs w:val="28"/>
        </w:rPr>
        <w:t>工作小时总数：</w:t>
      </w:r>
      <w:r>
        <w:rPr>
          <w:rFonts w:hint="eastAsia"/>
          <w:sz w:val="28"/>
          <w:szCs w:val="28"/>
        </w:rPr>
        <w:t>指报告期内本企业从业人员全部实际工时数，为正常工作时间与加班加点时间之和。</w:t>
      </w:r>
    </w:p>
    <w:p>
      <w:pPr>
        <w:pStyle w:val="8"/>
        <w:spacing w:line="400" w:lineRule="exact"/>
        <w:ind w:firstLine="0" w:firstLineChars="0"/>
        <w:jc w:val="center"/>
        <w:rPr>
          <w:rFonts w:hint="eastAsia"/>
          <w:b/>
          <w:color w:val="000000"/>
          <w:kern w:val="2"/>
          <w:sz w:val="28"/>
          <w:szCs w:val="28"/>
        </w:rPr>
      </w:pPr>
    </w:p>
    <w:p>
      <w:pPr>
        <w:pStyle w:val="8"/>
        <w:spacing w:line="400" w:lineRule="exact"/>
        <w:ind w:firstLine="0" w:firstLineChars="0"/>
        <w:jc w:val="center"/>
        <w:rPr>
          <w:rFonts w:hint="eastAsia"/>
          <w:b/>
          <w:color w:val="000000"/>
          <w:kern w:val="2"/>
          <w:sz w:val="28"/>
          <w:szCs w:val="28"/>
        </w:rPr>
      </w:pPr>
    </w:p>
    <w:p>
      <w:pPr>
        <w:pStyle w:val="8"/>
        <w:spacing w:line="400" w:lineRule="exact"/>
        <w:ind w:firstLine="0" w:firstLineChars="0"/>
        <w:jc w:val="center"/>
        <w:rPr>
          <w:b/>
          <w:color w:val="000000"/>
          <w:kern w:val="2"/>
          <w:sz w:val="28"/>
          <w:szCs w:val="28"/>
        </w:rPr>
      </w:pPr>
      <w:r>
        <w:rPr>
          <w:rFonts w:hint="eastAsia"/>
          <w:b/>
          <w:color w:val="000000"/>
          <w:kern w:val="2"/>
          <w:sz w:val="28"/>
          <w:szCs w:val="28"/>
        </w:rPr>
        <w:t>企业主要经济指标及企业人工成本指标</w:t>
      </w:r>
    </w:p>
    <w:p>
      <w:pPr>
        <w:pStyle w:val="8"/>
        <w:spacing w:line="400" w:lineRule="exact"/>
        <w:ind w:firstLine="562"/>
        <w:rPr>
          <w:rFonts w:hint="eastAsia"/>
          <w:b/>
          <w:color w:val="000000"/>
          <w:kern w:val="2"/>
          <w:sz w:val="28"/>
          <w:szCs w:val="28"/>
        </w:rPr>
      </w:pPr>
    </w:p>
    <w:p>
      <w:pPr>
        <w:pStyle w:val="8"/>
        <w:spacing w:line="400" w:lineRule="exact"/>
        <w:ind w:firstLine="562"/>
        <w:rPr>
          <w:color w:val="000000"/>
          <w:kern w:val="2"/>
          <w:sz w:val="28"/>
          <w:szCs w:val="28"/>
        </w:rPr>
      </w:pPr>
      <w:r>
        <w:rPr>
          <w:rFonts w:hint="eastAsia"/>
          <w:b/>
          <w:color w:val="000000"/>
          <w:kern w:val="2"/>
          <w:sz w:val="28"/>
          <w:szCs w:val="28"/>
        </w:rPr>
        <w:t>销售（营业）收入：</w:t>
      </w:r>
      <w:r>
        <w:rPr>
          <w:rFonts w:hint="eastAsia"/>
          <w:color w:val="000000"/>
          <w:kern w:val="2"/>
          <w:sz w:val="28"/>
          <w:szCs w:val="28"/>
        </w:rPr>
        <w:t>指企业在报告期生产经营活动中通过销售产品、提供劳务、让渡资产或从事其它生产经营活动而获得的全部收入。</w:t>
      </w:r>
    </w:p>
    <w:p>
      <w:pPr>
        <w:pStyle w:val="8"/>
        <w:spacing w:line="400" w:lineRule="exact"/>
        <w:ind w:firstLine="562"/>
        <w:rPr>
          <w:color w:val="000000"/>
          <w:kern w:val="2"/>
          <w:sz w:val="28"/>
          <w:szCs w:val="28"/>
        </w:rPr>
      </w:pPr>
      <w:r>
        <w:rPr>
          <w:rFonts w:hint="eastAsia"/>
          <w:b/>
          <w:color w:val="000000"/>
          <w:kern w:val="2"/>
          <w:sz w:val="28"/>
          <w:szCs w:val="28"/>
        </w:rPr>
        <w:t>利润总额：</w:t>
      </w:r>
      <w:r>
        <w:rPr>
          <w:rFonts w:hint="eastAsia"/>
          <w:color w:val="000000"/>
          <w:kern w:val="2"/>
          <w:sz w:val="28"/>
          <w:szCs w:val="28"/>
        </w:rPr>
        <w:t>指企业在报告期内实现的盈亏总额。</w:t>
      </w:r>
    </w:p>
    <w:p>
      <w:pPr>
        <w:pStyle w:val="8"/>
        <w:spacing w:line="400" w:lineRule="exact"/>
        <w:ind w:firstLine="562"/>
        <w:rPr>
          <w:color w:val="000000"/>
          <w:kern w:val="2"/>
          <w:sz w:val="28"/>
          <w:szCs w:val="28"/>
        </w:rPr>
      </w:pPr>
      <w:r>
        <w:rPr>
          <w:rFonts w:hint="eastAsia"/>
          <w:b/>
          <w:color w:val="000000"/>
          <w:kern w:val="2"/>
          <w:sz w:val="28"/>
          <w:szCs w:val="28"/>
        </w:rPr>
        <w:t>固定资产折旧：</w:t>
      </w:r>
      <w:r>
        <w:rPr>
          <w:rFonts w:hint="eastAsia"/>
          <w:color w:val="000000"/>
          <w:kern w:val="2"/>
          <w:sz w:val="28"/>
          <w:szCs w:val="28"/>
        </w:rPr>
        <w:t>指企业在报告期提取的固定资产折旧数。</w:t>
      </w:r>
    </w:p>
    <w:p>
      <w:pPr>
        <w:pStyle w:val="8"/>
        <w:spacing w:line="400" w:lineRule="exact"/>
        <w:ind w:firstLine="562"/>
        <w:rPr>
          <w:color w:val="000000"/>
          <w:kern w:val="2"/>
          <w:sz w:val="28"/>
          <w:szCs w:val="28"/>
        </w:rPr>
      </w:pPr>
      <w:r>
        <w:rPr>
          <w:rFonts w:hint="eastAsia"/>
          <w:b/>
          <w:color w:val="000000"/>
          <w:kern w:val="2"/>
          <w:sz w:val="28"/>
          <w:szCs w:val="28"/>
        </w:rPr>
        <w:t>主营业务税金及附加：</w:t>
      </w:r>
      <w:r>
        <w:rPr>
          <w:rFonts w:hint="eastAsia"/>
          <w:color w:val="000000"/>
          <w:kern w:val="2"/>
          <w:sz w:val="28"/>
          <w:szCs w:val="28"/>
        </w:rPr>
        <w:t>指企业经营主要业务应负担的营业税、消费税、城市维护建设税、教育费附加等。</w:t>
      </w:r>
    </w:p>
    <w:p>
      <w:pPr>
        <w:pStyle w:val="8"/>
        <w:spacing w:line="400" w:lineRule="exact"/>
        <w:ind w:firstLine="562"/>
        <w:rPr>
          <w:color w:val="000000"/>
          <w:kern w:val="2"/>
          <w:sz w:val="28"/>
          <w:szCs w:val="28"/>
        </w:rPr>
      </w:pPr>
      <w:r>
        <w:rPr>
          <w:rFonts w:hint="eastAsia"/>
          <w:b/>
          <w:color w:val="000000"/>
          <w:kern w:val="2"/>
          <w:sz w:val="28"/>
          <w:szCs w:val="28"/>
        </w:rPr>
        <w:t>成本费用总额：</w:t>
      </w:r>
      <w:r>
        <w:rPr>
          <w:rFonts w:hint="eastAsia"/>
          <w:color w:val="000000"/>
          <w:kern w:val="2"/>
          <w:sz w:val="28"/>
          <w:szCs w:val="28"/>
        </w:rPr>
        <w:t>指企业在生产、经营和提供劳务活动中发生的所有费用。该指标来源于</w:t>
      </w:r>
      <w:r>
        <w:rPr>
          <w:color w:val="000000"/>
          <w:kern w:val="2"/>
          <w:sz w:val="28"/>
          <w:szCs w:val="28"/>
        </w:rPr>
        <w:t>“</w:t>
      </w:r>
      <w:r>
        <w:rPr>
          <w:rFonts w:hint="eastAsia"/>
          <w:color w:val="000000"/>
          <w:kern w:val="2"/>
          <w:sz w:val="28"/>
          <w:szCs w:val="28"/>
        </w:rPr>
        <w:t>企业损益表</w:t>
      </w:r>
      <w:r>
        <w:rPr>
          <w:color w:val="000000"/>
          <w:kern w:val="2"/>
          <w:sz w:val="28"/>
          <w:szCs w:val="28"/>
        </w:rPr>
        <w:t>”</w:t>
      </w:r>
      <w:r>
        <w:rPr>
          <w:rFonts w:hint="eastAsia"/>
          <w:color w:val="000000"/>
          <w:kern w:val="2"/>
          <w:sz w:val="28"/>
          <w:szCs w:val="28"/>
        </w:rPr>
        <w:t>中的销售成本（直接材料、直接人工、燃料和动力、制造费用）和期间费用（销售费用、管理费用和财务费用）的本年累计数。</w:t>
      </w:r>
    </w:p>
    <w:p>
      <w:pPr>
        <w:pStyle w:val="8"/>
        <w:spacing w:line="400" w:lineRule="exact"/>
        <w:ind w:firstLine="562"/>
        <w:rPr>
          <w:color w:val="000000"/>
          <w:kern w:val="2"/>
          <w:sz w:val="28"/>
          <w:szCs w:val="28"/>
        </w:rPr>
      </w:pPr>
      <w:r>
        <w:rPr>
          <w:rFonts w:hint="eastAsia"/>
          <w:b/>
          <w:color w:val="000000"/>
          <w:kern w:val="2"/>
          <w:sz w:val="28"/>
          <w:szCs w:val="28"/>
        </w:rPr>
        <w:t>企业人工成本：</w:t>
      </w:r>
      <w:r>
        <w:rPr>
          <w:rFonts w:hint="eastAsia"/>
          <w:color w:val="000000"/>
          <w:kern w:val="2"/>
          <w:sz w:val="28"/>
          <w:szCs w:val="28"/>
        </w:rPr>
        <w:t>企业在生产、经营和提供劳务活动中因使用劳动力而发生的所有直接和间接费用的总和，它反映企业在报告期内因使用各种人力资源所付出的全部成本费用，其范围包括：从业人员劳动报酬、福利费用、教育经费、保险费用、劳动保护费用、住房费用和其他人工成本。</w:t>
      </w:r>
    </w:p>
    <w:p>
      <w:pPr>
        <w:spacing w:line="360" w:lineRule="exact"/>
        <w:ind w:firstLine="592" w:firstLineChars="200"/>
        <w:rPr>
          <w:spacing w:val="8"/>
          <w:sz w:val="28"/>
          <w:szCs w:val="28"/>
        </w:rPr>
      </w:pPr>
      <w:r>
        <w:rPr>
          <w:rFonts w:hint="eastAsia"/>
          <w:b/>
          <w:spacing w:val="8"/>
          <w:sz w:val="28"/>
          <w:szCs w:val="28"/>
        </w:rPr>
        <w:t>从业人员工资总额：</w:t>
      </w:r>
      <w:r>
        <w:rPr>
          <w:rFonts w:hint="eastAsia"/>
          <w:spacing w:val="8"/>
          <w:sz w:val="28"/>
          <w:szCs w:val="28"/>
        </w:rPr>
        <w:t>指根据《关于工资总额组成的规定》（</w:t>
      </w:r>
      <w:r>
        <w:rPr>
          <w:spacing w:val="8"/>
          <w:sz w:val="28"/>
          <w:szCs w:val="28"/>
        </w:rPr>
        <w:t>1990</w:t>
      </w:r>
      <w:r>
        <w:rPr>
          <w:rFonts w:hint="eastAsia"/>
          <w:spacing w:val="8"/>
          <w:sz w:val="28"/>
          <w:szCs w:val="28"/>
        </w:rPr>
        <w:t>年</w:t>
      </w:r>
      <w:r>
        <w:rPr>
          <w:spacing w:val="8"/>
          <w:sz w:val="28"/>
          <w:szCs w:val="28"/>
        </w:rPr>
        <w:t>1</w:t>
      </w:r>
      <w:r>
        <w:rPr>
          <w:rFonts w:hint="eastAsia"/>
          <w:spacing w:val="8"/>
          <w:sz w:val="28"/>
          <w:szCs w:val="28"/>
        </w:rPr>
        <w:t>月</w:t>
      </w:r>
      <w:r>
        <w:rPr>
          <w:spacing w:val="8"/>
          <w:sz w:val="28"/>
          <w:szCs w:val="28"/>
        </w:rPr>
        <w:t>1</w:t>
      </w:r>
      <w:r>
        <w:rPr>
          <w:rFonts w:hint="eastAsia"/>
          <w:spacing w:val="8"/>
          <w:sz w:val="28"/>
          <w:szCs w:val="28"/>
        </w:rPr>
        <w:t>日国家统计局发布的一号令）进行修订，本单位在报告期内（季度或年度）直接支付给本单位全部从业人员的劳动报酬总额。包括计时工资、计件工资、奖金、津贴和补贴、加班加点工资、特殊情况下支付的工资，是在岗职工工资总额、劳务派遣人员工资总额和其他从业人员工资总额之和。</w:t>
      </w:r>
    </w:p>
    <w:p>
      <w:pPr>
        <w:spacing w:line="360" w:lineRule="exact"/>
        <w:ind w:firstLine="592" w:firstLineChars="200"/>
        <w:rPr>
          <w:spacing w:val="8"/>
          <w:sz w:val="28"/>
          <w:szCs w:val="28"/>
        </w:rPr>
      </w:pPr>
      <w:r>
        <w:rPr>
          <w:rFonts w:hint="eastAsia"/>
          <w:spacing w:val="8"/>
          <w:sz w:val="28"/>
          <w:szCs w:val="28"/>
        </w:rPr>
        <w:t>工资总额是税前工资，包括单位从个人工资中直接为其代扣或代缴的房费、水费、电费、住房公积金和社会保险基金个人缴纳部分等。</w:t>
      </w:r>
    </w:p>
    <w:p>
      <w:pPr>
        <w:spacing w:line="360" w:lineRule="exact"/>
        <w:ind w:firstLine="592" w:firstLineChars="200"/>
        <w:rPr>
          <w:sz w:val="28"/>
          <w:szCs w:val="28"/>
        </w:rPr>
      </w:pPr>
      <w:r>
        <w:rPr>
          <w:rFonts w:hint="eastAsia"/>
          <w:spacing w:val="8"/>
          <w:sz w:val="28"/>
          <w:szCs w:val="28"/>
        </w:rPr>
        <w:t>工资总额</w:t>
      </w:r>
      <w:r>
        <w:rPr>
          <w:rFonts w:hint="eastAsia"/>
          <w:sz w:val="28"/>
          <w:szCs w:val="28"/>
        </w:rPr>
        <w:t>不论是计入成本的还是不计入成本的，不论是以货币形式支付的还是以实物形式支付的，均应列入工资总额的计算范围。</w:t>
      </w:r>
    </w:p>
    <w:p>
      <w:pPr>
        <w:pStyle w:val="4"/>
        <w:spacing w:line="360" w:lineRule="exact"/>
        <w:ind w:firstLine="560" w:firstLineChars="200"/>
        <w:rPr>
          <w:rFonts w:ascii="Times New Roman" w:hAnsi="Times New Roman"/>
          <w:sz w:val="28"/>
          <w:szCs w:val="28"/>
        </w:rPr>
      </w:pPr>
      <w:r>
        <w:rPr>
          <w:rFonts w:hint="eastAsia" w:ascii="Times New Roman" w:hAnsi="Times New Roman"/>
          <w:b/>
          <w:sz w:val="28"/>
          <w:szCs w:val="28"/>
        </w:rPr>
        <w:t>在岗职工工资总额：</w:t>
      </w:r>
      <w:r>
        <w:rPr>
          <w:rFonts w:hint="eastAsia" w:ascii="Times New Roman" w:hAnsi="Times New Roman"/>
          <w:sz w:val="28"/>
          <w:szCs w:val="28"/>
        </w:rPr>
        <w:t>指本单位在报告期内直接支付给本单位全部在岗职工的劳动报酬总额。在岗职工工资总额由基本工资、绩效工资、工资性津贴和补贴、其他工资四部分组成。工资总额不包括病假、事假等情况的扣款。</w:t>
      </w:r>
    </w:p>
    <w:p>
      <w:pPr>
        <w:pStyle w:val="4"/>
        <w:spacing w:line="360" w:lineRule="exact"/>
        <w:ind w:firstLine="560" w:firstLineChars="200"/>
        <w:rPr>
          <w:rFonts w:ascii="Times New Roman" w:hAnsi="Times New Roman"/>
          <w:sz w:val="28"/>
          <w:szCs w:val="28"/>
        </w:rPr>
      </w:pPr>
      <w:r>
        <w:rPr>
          <w:rFonts w:hint="eastAsia" w:ascii="Times New Roman" w:hAnsi="Times New Roman"/>
          <w:sz w:val="28"/>
          <w:szCs w:val="28"/>
        </w:rPr>
        <w:t>各单位在填报在岗职工工资总额四项构成时，应根据实际情况调整对应项目；如不能确定调整项，可扣减基本工资项。</w:t>
      </w:r>
    </w:p>
    <w:p>
      <w:pPr>
        <w:spacing w:line="360" w:lineRule="exact"/>
        <w:ind w:firstLine="560" w:firstLineChars="200"/>
        <w:rPr>
          <w:sz w:val="28"/>
          <w:szCs w:val="28"/>
        </w:rPr>
      </w:pPr>
      <w:r>
        <w:rPr>
          <w:rFonts w:hint="eastAsia"/>
          <w:b/>
          <w:sz w:val="28"/>
          <w:szCs w:val="28"/>
        </w:rPr>
        <w:t>劳务派遣人员工资总额：</w:t>
      </w:r>
      <w:r>
        <w:rPr>
          <w:rFonts w:hint="eastAsia"/>
          <w:sz w:val="28"/>
          <w:szCs w:val="28"/>
        </w:rPr>
        <w:t>指实际用工单位（派遣人员的使用方）在一定时期内为使用劳务派遣人员而付出的劳动报酬总额，包括用工单位负担的基本工资、加班工资、绩效工资以及各种津贴、补贴等，但不包括因使用派遣人员而支付的管理费用和其他用工成本。</w:t>
      </w:r>
    </w:p>
    <w:p>
      <w:pPr>
        <w:pStyle w:val="8"/>
        <w:spacing w:line="400" w:lineRule="exact"/>
        <w:ind w:firstLine="562"/>
        <w:rPr>
          <w:color w:val="000000"/>
          <w:kern w:val="2"/>
          <w:sz w:val="28"/>
          <w:szCs w:val="28"/>
        </w:rPr>
      </w:pPr>
      <w:r>
        <w:rPr>
          <w:rFonts w:hint="eastAsia"/>
          <w:b/>
          <w:color w:val="000000"/>
          <w:kern w:val="2"/>
          <w:sz w:val="28"/>
          <w:szCs w:val="28"/>
        </w:rPr>
        <w:t>福利费用：</w:t>
      </w:r>
      <w:r>
        <w:rPr>
          <w:rFonts w:hint="eastAsia"/>
          <w:color w:val="000000"/>
          <w:kern w:val="2"/>
          <w:sz w:val="28"/>
          <w:szCs w:val="28"/>
        </w:rPr>
        <w:t>指企业在工资以外实际支付给从业人员个人以及用于集体的福利费用的总称。主要包括企业支付给从业人员的冬季取暖补贴费（也包括企业实际支付给享受集体供暖的从业人员个人的部分）、医疗卫生费、计划生育补贴、生活困难补助、文体宣传费、集体福利设施和集体福利事业补贴费（包括集体、生活福利设施，如职工食堂、托儿所、幼儿园、浴室、理发室、妇女卫生室、医务室等，以及文化福利设施如文化宫、俱乐部、青少年宫、图书室、体育场、游泳池、职工之家、老年人活动中心等）及丧葬抚恤救济费、职工因工负伤赴外地就医路费、物业管理费、上下班交通补贴等。</w:t>
      </w:r>
    </w:p>
    <w:p>
      <w:pPr>
        <w:pStyle w:val="8"/>
        <w:spacing w:line="400" w:lineRule="exact"/>
        <w:ind w:firstLine="562"/>
        <w:rPr>
          <w:color w:val="000000"/>
          <w:kern w:val="2"/>
          <w:sz w:val="28"/>
          <w:szCs w:val="28"/>
        </w:rPr>
      </w:pPr>
      <w:r>
        <w:rPr>
          <w:rFonts w:hint="eastAsia"/>
          <w:b/>
          <w:color w:val="000000"/>
          <w:kern w:val="2"/>
          <w:sz w:val="28"/>
          <w:szCs w:val="28"/>
        </w:rPr>
        <w:t>教育经费：</w:t>
      </w:r>
      <w:r>
        <w:rPr>
          <w:rFonts w:hint="eastAsia"/>
          <w:color w:val="000000"/>
          <w:kern w:val="2"/>
          <w:sz w:val="28"/>
          <w:szCs w:val="28"/>
        </w:rPr>
        <w:t>指企业为职工学习先进技术和提高文化水平而支付的费用。包括岗前培训、在职提高培训、转岗培训、派外培训、职业道德等方面的培训费用和企业自办大中专、职业技术院校等培训场所发生的费用以及职业技能鉴定费用。</w:t>
      </w:r>
    </w:p>
    <w:p>
      <w:pPr>
        <w:pStyle w:val="8"/>
        <w:spacing w:line="400" w:lineRule="exact"/>
        <w:ind w:firstLine="562"/>
        <w:rPr>
          <w:color w:val="000000"/>
          <w:kern w:val="2"/>
          <w:sz w:val="28"/>
          <w:szCs w:val="28"/>
        </w:rPr>
      </w:pPr>
      <w:r>
        <w:rPr>
          <w:rFonts w:hint="eastAsia"/>
          <w:b/>
          <w:color w:val="000000"/>
          <w:kern w:val="2"/>
          <w:sz w:val="28"/>
          <w:szCs w:val="28"/>
        </w:rPr>
        <w:t>保险费用：</w:t>
      </w:r>
      <w:r>
        <w:rPr>
          <w:rFonts w:hint="eastAsia"/>
          <w:color w:val="000000"/>
          <w:kern w:val="2"/>
          <w:sz w:val="28"/>
          <w:szCs w:val="28"/>
        </w:rPr>
        <w:t>指根据国家法律，由企业承担的各项社会保险费用，包括养老保险、医疗保险、失业保险、工伤保险、生育保险等费用，也包括企业缴纳的年金（补充养老保险）、补充医疗保险或储蓄性医疗保险。不包括不在岗人员的社会保险费用。</w:t>
      </w:r>
    </w:p>
    <w:p>
      <w:pPr>
        <w:pStyle w:val="8"/>
        <w:spacing w:line="400" w:lineRule="exact"/>
        <w:ind w:firstLine="562"/>
        <w:rPr>
          <w:color w:val="000000"/>
          <w:kern w:val="2"/>
          <w:sz w:val="28"/>
          <w:szCs w:val="28"/>
        </w:rPr>
      </w:pPr>
      <w:r>
        <w:rPr>
          <w:rFonts w:hint="eastAsia"/>
          <w:b/>
          <w:color w:val="000000"/>
          <w:kern w:val="2"/>
          <w:sz w:val="28"/>
          <w:szCs w:val="28"/>
        </w:rPr>
        <w:t>劳动保护费用：</w:t>
      </w:r>
      <w:r>
        <w:rPr>
          <w:rFonts w:hint="eastAsia"/>
          <w:color w:val="000000"/>
          <w:kern w:val="2"/>
          <w:sz w:val="28"/>
          <w:szCs w:val="28"/>
        </w:rPr>
        <w:t>指企业为实施安全技术措施、工业卫生等发生的费用，以及用于职工劳动保护用品（如保健用品、清凉用品、工作服等）的费用。它不包括劳动保护设备的购置费、维修费以及个人只能在工作现场使用的特殊用品。</w:t>
      </w:r>
    </w:p>
    <w:p>
      <w:pPr>
        <w:pStyle w:val="8"/>
        <w:spacing w:line="400" w:lineRule="exact"/>
        <w:ind w:firstLine="562"/>
        <w:rPr>
          <w:color w:val="000000"/>
          <w:kern w:val="2"/>
          <w:sz w:val="28"/>
          <w:szCs w:val="28"/>
        </w:rPr>
      </w:pPr>
      <w:r>
        <w:rPr>
          <w:rFonts w:hint="eastAsia"/>
          <w:b/>
          <w:color w:val="000000"/>
          <w:kern w:val="2"/>
          <w:sz w:val="28"/>
          <w:szCs w:val="28"/>
        </w:rPr>
        <w:t>住房费用：</w:t>
      </w:r>
      <w:r>
        <w:rPr>
          <w:rFonts w:hint="eastAsia"/>
          <w:color w:val="000000"/>
          <w:kern w:val="2"/>
          <w:sz w:val="28"/>
          <w:szCs w:val="28"/>
        </w:rPr>
        <w:t>指企业为改善从业人员的居住条件而支付的所有费用。具体包括职工宿舍的折旧费、企业交纳的住房公积金、实际支付给职工的住房补贴（包括为职工租用房屋的租金、租房差价补贴、购房差价补贴等）和按规定为职工提供的住房困难补助及企业住房的维修费和管理费等。</w:t>
      </w:r>
    </w:p>
    <w:p>
      <w:pPr>
        <w:pStyle w:val="8"/>
        <w:spacing w:line="400" w:lineRule="exact"/>
        <w:ind w:firstLine="562"/>
        <w:rPr>
          <w:color w:val="000000"/>
          <w:kern w:val="2"/>
          <w:sz w:val="28"/>
          <w:szCs w:val="28"/>
        </w:rPr>
      </w:pPr>
      <w:r>
        <w:rPr>
          <w:rFonts w:hint="eastAsia"/>
          <w:b/>
          <w:color w:val="000000"/>
          <w:kern w:val="2"/>
          <w:sz w:val="28"/>
          <w:szCs w:val="28"/>
        </w:rPr>
        <w:t>其他人工成本：</w:t>
      </w:r>
      <w:r>
        <w:rPr>
          <w:rFonts w:hint="eastAsia"/>
          <w:color w:val="000000"/>
          <w:kern w:val="2"/>
          <w:sz w:val="28"/>
          <w:szCs w:val="28"/>
        </w:rPr>
        <w:t>指不包括在以上各项中的其他人工成本项目。包括工会经费，企业因招聘职工而实际花费的职工招聘费、咨询费、外聘人员劳务费，对职工的特殊奖励（如创造发明奖、科技进步奖等），支付实行租赁、承租经营企业的承租人、承包人的风险补偿费等，解除劳动合同或终止劳动合同的补偿费用，以及在本企业领取劳动报酬的外籍从业人员费用等。</w:t>
      </w:r>
    </w:p>
    <w:p>
      <w:pPr>
        <w:pStyle w:val="8"/>
        <w:spacing w:line="400" w:lineRule="exact"/>
        <w:ind w:firstLine="0" w:firstLineChars="0"/>
        <w:jc w:val="center"/>
        <w:rPr>
          <w:b/>
          <w:color w:val="000000"/>
          <w:kern w:val="2"/>
          <w:sz w:val="28"/>
          <w:szCs w:val="28"/>
        </w:rPr>
      </w:pPr>
      <w:r>
        <w:rPr>
          <w:rFonts w:hint="eastAsia"/>
          <w:b/>
          <w:color w:val="000000"/>
          <w:kern w:val="2"/>
          <w:sz w:val="28"/>
          <w:szCs w:val="28"/>
        </w:rPr>
        <w:t>企业从业人员情况及工资报酬情况</w:t>
      </w:r>
    </w:p>
    <w:p>
      <w:pPr>
        <w:pStyle w:val="8"/>
        <w:spacing w:line="400" w:lineRule="exact"/>
        <w:ind w:firstLine="562"/>
        <w:rPr>
          <w:color w:val="000000"/>
          <w:kern w:val="2"/>
          <w:sz w:val="28"/>
          <w:szCs w:val="28"/>
        </w:rPr>
      </w:pPr>
      <w:r>
        <w:rPr>
          <w:rFonts w:hint="eastAsia"/>
          <w:b/>
          <w:color w:val="000000"/>
          <w:kern w:val="2"/>
          <w:sz w:val="28"/>
          <w:szCs w:val="28"/>
        </w:rPr>
        <w:t>用工形式：</w:t>
      </w:r>
      <w:r>
        <w:rPr>
          <w:rFonts w:hint="eastAsia"/>
          <w:color w:val="000000"/>
          <w:kern w:val="2"/>
          <w:sz w:val="28"/>
          <w:szCs w:val="28"/>
        </w:rPr>
        <w:t>分为合同制度用工、劳务派遣用工两种形式。本调查只调查全日制雇员和劳务派遣人员。</w:t>
      </w:r>
    </w:p>
    <w:p>
      <w:pPr>
        <w:pStyle w:val="8"/>
        <w:spacing w:line="400" w:lineRule="exact"/>
        <w:ind w:firstLine="562"/>
        <w:rPr>
          <w:color w:val="000000"/>
          <w:kern w:val="2"/>
          <w:sz w:val="28"/>
          <w:szCs w:val="28"/>
        </w:rPr>
      </w:pPr>
      <w:r>
        <w:rPr>
          <w:rFonts w:hint="eastAsia"/>
          <w:b/>
          <w:color w:val="000000"/>
          <w:kern w:val="2"/>
          <w:sz w:val="28"/>
          <w:szCs w:val="28"/>
        </w:rPr>
        <w:t>劳动合同类型：</w:t>
      </w:r>
      <w:r>
        <w:rPr>
          <w:rFonts w:hint="eastAsia"/>
          <w:color w:val="000000"/>
          <w:kern w:val="2"/>
          <w:sz w:val="28"/>
          <w:szCs w:val="28"/>
        </w:rPr>
        <w:t>指劳动者与企业签署的劳动合同的类型。按《劳动合同法》有关规定，劳动合同类型分为固定期限、无固定期限、以完成一定工作任务为期限三种类型。</w:t>
      </w:r>
    </w:p>
    <w:p>
      <w:pPr>
        <w:spacing w:line="400" w:lineRule="exact"/>
        <w:ind w:firstLine="560" w:firstLineChars="200"/>
        <w:rPr>
          <w:b/>
          <w:sz w:val="28"/>
          <w:szCs w:val="28"/>
        </w:rPr>
      </w:pPr>
      <w:r>
        <w:rPr>
          <w:rFonts w:hint="eastAsia"/>
          <w:b/>
          <w:sz w:val="28"/>
          <w:szCs w:val="28"/>
        </w:rPr>
        <w:t>管理岗位：</w:t>
      </w:r>
    </w:p>
    <w:p>
      <w:pPr>
        <w:spacing w:line="400" w:lineRule="exact"/>
        <w:ind w:firstLine="560" w:firstLineChars="200"/>
        <w:rPr>
          <w:sz w:val="28"/>
          <w:szCs w:val="28"/>
        </w:rPr>
      </w:pPr>
      <w:r>
        <w:rPr>
          <w:b/>
          <w:sz w:val="28"/>
          <w:szCs w:val="28"/>
        </w:rPr>
        <w:t>1.</w:t>
      </w:r>
      <w:r>
        <w:rPr>
          <w:rFonts w:hint="eastAsia"/>
          <w:b/>
          <w:sz w:val="28"/>
          <w:szCs w:val="28"/>
        </w:rPr>
        <w:t>高层管理岗</w:t>
      </w:r>
      <w:r>
        <w:rPr>
          <w:rFonts w:hint="eastAsia"/>
          <w:sz w:val="28"/>
          <w:szCs w:val="28"/>
        </w:rPr>
        <w:t>指处于企业最高领导层的岗位，对应上期调查表中的高级管理岗，如董事长，总经理、副总经理，总工程师、党委书记、党委副书记等。</w:t>
      </w:r>
    </w:p>
    <w:p>
      <w:pPr>
        <w:spacing w:line="400" w:lineRule="exact"/>
        <w:ind w:firstLine="560" w:firstLineChars="200"/>
        <w:rPr>
          <w:sz w:val="28"/>
          <w:szCs w:val="28"/>
        </w:rPr>
      </w:pPr>
      <w:r>
        <w:rPr>
          <w:b/>
          <w:sz w:val="28"/>
          <w:szCs w:val="28"/>
        </w:rPr>
        <w:t>2.</w:t>
      </w:r>
      <w:r>
        <w:rPr>
          <w:rFonts w:hint="eastAsia"/>
          <w:b/>
          <w:sz w:val="28"/>
          <w:szCs w:val="28"/>
        </w:rPr>
        <w:t>中层管理岗</w:t>
      </w:r>
      <w:r>
        <w:rPr>
          <w:rFonts w:hint="eastAsia"/>
          <w:sz w:val="28"/>
          <w:szCs w:val="28"/>
        </w:rPr>
        <w:t>指向高层管理岗负责人汇报工作的各部门负责人（正副）岗位，对应上期调查表中的一级管理岗，如行政部门负责人、财务部门负责人、人力资源部门负责人、研发部门负责人、销售部门负责人等。</w:t>
      </w:r>
    </w:p>
    <w:p>
      <w:pPr>
        <w:spacing w:line="400" w:lineRule="exact"/>
        <w:ind w:firstLine="560" w:firstLineChars="200"/>
        <w:rPr>
          <w:sz w:val="28"/>
          <w:szCs w:val="28"/>
        </w:rPr>
      </w:pPr>
      <w:r>
        <w:rPr>
          <w:b/>
          <w:sz w:val="28"/>
          <w:szCs w:val="28"/>
        </w:rPr>
        <w:t>3.</w:t>
      </w:r>
      <w:r>
        <w:rPr>
          <w:rFonts w:hint="eastAsia"/>
          <w:b/>
          <w:sz w:val="28"/>
          <w:szCs w:val="28"/>
        </w:rPr>
        <w:t>基层管理岗</w:t>
      </w:r>
      <w:r>
        <w:rPr>
          <w:rFonts w:hint="eastAsia"/>
          <w:sz w:val="28"/>
          <w:szCs w:val="28"/>
        </w:rPr>
        <w:t>指向中层管理岗负责人汇报工作的部门内主管类岗位，对应上期调查表中的二级管理岗，如行政部门下属文秘主管、财务部门成本会计主管、人力资源部门下属薪酬主管、研发部门下属项目经理等。</w:t>
      </w:r>
    </w:p>
    <w:p>
      <w:pPr>
        <w:spacing w:line="400" w:lineRule="exact"/>
        <w:ind w:firstLine="560" w:firstLineChars="200"/>
        <w:rPr>
          <w:sz w:val="28"/>
          <w:szCs w:val="28"/>
        </w:rPr>
      </w:pPr>
      <w:r>
        <w:rPr>
          <w:b/>
          <w:sz w:val="28"/>
          <w:szCs w:val="28"/>
        </w:rPr>
        <w:t>4.</w:t>
      </w:r>
      <w:r>
        <w:rPr>
          <w:rFonts w:hint="eastAsia"/>
          <w:b/>
          <w:sz w:val="28"/>
          <w:szCs w:val="28"/>
        </w:rPr>
        <w:t>管理类员工岗</w:t>
      </w:r>
      <w:r>
        <w:rPr>
          <w:rFonts w:hint="eastAsia"/>
          <w:sz w:val="28"/>
          <w:szCs w:val="28"/>
        </w:rPr>
        <w:t>指在企业中从事具体行政管理或职能管理类工作的普通员工岗位，对应上期调查表中的其他管理岗，没有下属人员。</w:t>
      </w:r>
    </w:p>
    <w:p>
      <w:pPr>
        <w:spacing w:line="400" w:lineRule="exact"/>
        <w:ind w:firstLine="560" w:firstLineChars="200"/>
        <w:rPr>
          <w:b/>
          <w:sz w:val="28"/>
          <w:szCs w:val="28"/>
        </w:rPr>
      </w:pPr>
      <w:r>
        <w:rPr>
          <w:rFonts w:hint="eastAsia"/>
          <w:sz w:val="28"/>
          <w:szCs w:val="28"/>
        </w:rPr>
        <w:t>具有四层管理岗结构的企业按上述解释填报，具有三层管理岗结构的企业只填高层管理岗、中层管理岗和管理类员工岗，具有两层管理岗结构的企业只填高层管理岗和管理类员工岗。</w:t>
      </w:r>
    </w:p>
    <w:p>
      <w:pPr>
        <w:pStyle w:val="8"/>
        <w:spacing w:line="400" w:lineRule="exact"/>
        <w:ind w:firstLine="562"/>
        <w:rPr>
          <w:color w:val="000000"/>
          <w:kern w:val="2"/>
          <w:sz w:val="28"/>
          <w:szCs w:val="28"/>
        </w:rPr>
      </w:pPr>
      <w:r>
        <w:rPr>
          <w:rFonts w:hint="eastAsia"/>
          <w:b/>
          <w:color w:val="000000"/>
          <w:kern w:val="2"/>
          <w:sz w:val="28"/>
          <w:szCs w:val="28"/>
        </w:rPr>
        <w:t>全年周平均工作小时数：</w:t>
      </w:r>
      <w:r>
        <w:rPr>
          <w:rFonts w:hint="eastAsia"/>
          <w:color w:val="000000"/>
          <w:kern w:val="2"/>
          <w:sz w:val="28"/>
          <w:szCs w:val="28"/>
        </w:rPr>
        <w:t>指劳动者平均一个工作周内实际参与企业生产劳动的小时数。</w:t>
      </w:r>
    </w:p>
    <w:p>
      <w:pPr>
        <w:pStyle w:val="8"/>
        <w:spacing w:line="400" w:lineRule="exact"/>
        <w:ind w:firstLine="562"/>
        <w:rPr>
          <w:color w:val="000000"/>
          <w:kern w:val="2"/>
          <w:sz w:val="28"/>
          <w:szCs w:val="28"/>
        </w:rPr>
      </w:pPr>
      <w:r>
        <w:rPr>
          <w:rFonts w:hint="eastAsia"/>
          <w:b/>
          <w:color w:val="000000"/>
          <w:kern w:val="2"/>
          <w:sz w:val="28"/>
          <w:szCs w:val="28"/>
        </w:rPr>
        <w:t>工资报酬：</w:t>
      </w:r>
      <w:r>
        <w:rPr>
          <w:rFonts w:hint="eastAsia"/>
          <w:color w:val="000000"/>
          <w:kern w:val="2"/>
          <w:sz w:val="28"/>
          <w:szCs w:val="28"/>
        </w:rPr>
        <w:t>指劳动者因向企业提供劳动而直接取得的劳动报酬。包括四个二级指标。根据本调查制度的目的和内容，按照分类概括限定法设计填报。</w:t>
      </w:r>
    </w:p>
    <w:p>
      <w:pPr>
        <w:pStyle w:val="8"/>
        <w:spacing w:line="400" w:lineRule="exact"/>
        <w:ind w:firstLine="562"/>
        <w:rPr>
          <w:color w:val="000000"/>
          <w:kern w:val="2"/>
          <w:sz w:val="28"/>
          <w:szCs w:val="28"/>
        </w:rPr>
      </w:pPr>
      <w:r>
        <w:rPr>
          <w:b/>
          <w:color w:val="000000"/>
          <w:kern w:val="2"/>
          <w:sz w:val="28"/>
          <w:szCs w:val="28"/>
        </w:rPr>
        <w:t>1.</w:t>
      </w:r>
      <w:r>
        <w:rPr>
          <w:rFonts w:hint="eastAsia"/>
          <w:b/>
          <w:color w:val="000000"/>
          <w:kern w:val="2"/>
          <w:sz w:val="28"/>
          <w:szCs w:val="28"/>
        </w:rPr>
        <w:t>基本工资（类）：</w:t>
      </w:r>
      <w:r>
        <w:rPr>
          <w:rFonts w:hint="eastAsia"/>
          <w:color w:val="000000"/>
          <w:kern w:val="2"/>
          <w:sz w:val="28"/>
          <w:szCs w:val="28"/>
        </w:rPr>
        <w:t>指按照劳动合同中约定的、与劳动者本人岗位相对应的、发放周期和发放水平相对固定的工资报酬。如标准工资、基础工资、岗位工资等，包括其它不与绩效考核结果挂钩的工资项目。</w:t>
      </w:r>
    </w:p>
    <w:p>
      <w:pPr>
        <w:pStyle w:val="8"/>
        <w:spacing w:line="400" w:lineRule="exact"/>
        <w:ind w:firstLine="562"/>
        <w:rPr>
          <w:color w:val="000000"/>
          <w:kern w:val="2"/>
          <w:sz w:val="28"/>
          <w:szCs w:val="28"/>
        </w:rPr>
      </w:pPr>
      <w:r>
        <w:rPr>
          <w:b/>
          <w:color w:val="000000"/>
          <w:kern w:val="2"/>
          <w:sz w:val="28"/>
          <w:szCs w:val="28"/>
        </w:rPr>
        <w:t>2.</w:t>
      </w:r>
      <w:r>
        <w:rPr>
          <w:rFonts w:hint="eastAsia"/>
          <w:b/>
          <w:color w:val="000000"/>
          <w:kern w:val="2"/>
          <w:sz w:val="28"/>
          <w:szCs w:val="28"/>
        </w:rPr>
        <w:t>绩效工资（类）：</w:t>
      </w:r>
      <w:r>
        <w:rPr>
          <w:rFonts w:hint="eastAsia"/>
          <w:color w:val="000000"/>
          <w:kern w:val="2"/>
          <w:sz w:val="28"/>
          <w:szCs w:val="28"/>
        </w:rPr>
        <w:t>指劳动者根据所在企业的经济效益、集体或本人绩效或实际表现获得的浮动性工资报酬，包括按月度、季度、半年、全年考核发放的奖金或奖金性质的绩效工资，还包括销售提成、项目奖金，特别奖励、技术交易奖酬金等工资项目。</w:t>
      </w:r>
    </w:p>
    <w:p>
      <w:pPr>
        <w:pStyle w:val="8"/>
        <w:spacing w:line="400" w:lineRule="exact"/>
        <w:ind w:firstLine="562"/>
        <w:rPr>
          <w:color w:val="000000"/>
          <w:kern w:val="2"/>
          <w:sz w:val="28"/>
          <w:szCs w:val="28"/>
        </w:rPr>
      </w:pPr>
      <w:r>
        <w:rPr>
          <w:b/>
          <w:color w:val="000000"/>
          <w:kern w:val="2"/>
          <w:sz w:val="28"/>
          <w:szCs w:val="28"/>
        </w:rPr>
        <w:t>3..</w:t>
      </w:r>
      <w:r>
        <w:rPr>
          <w:rFonts w:hint="eastAsia"/>
          <w:b/>
          <w:color w:val="000000"/>
          <w:kern w:val="2"/>
          <w:sz w:val="28"/>
          <w:szCs w:val="28"/>
        </w:rPr>
        <w:t>津补贴（类）：</w:t>
      </w:r>
      <w:r>
        <w:rPr>
          <w:color w:val="000000"/>
          <w:kern w:val="2"/>
          <w:sz w:val="28"/>
          <w:szCs w:val="28"/>
        </w:rPr>
        <w:t>“</w:t>
      </w:r>
      <w:r>
        <w:rPr>
          <w:rFonts w:hint="eastAsia"/>
          <w:color w:val="000000"/>
          <w:kern w:val="2"/>
          <w:sz w:val="28"/>
          <w:szCs w:val="28"/>
        </w:rPr>
        <w:t>包括劳动者因特殊或额外的劳动消耗等获得各项生产性津贴，如艰苦岗位津贴、夜班津贴、倒班津贴等工资项目；还包括企业从福利费用中支付的劳动者个人的各种现金补贴，如各种交通补助、各种住房提租补贴、各种通信工具补助、住宅电话补助、劳动者不休假的补贴等工资项目。</w:t>
      </w:r>
    </w:p>
    <w:p>
      <w:pPr>
        <w:pStyle w:val="8"/>
        <w:spacing w:line="400" w:lineRule="exact"/>
        <w:ind w:firstLine="562"/>
        <w:rPr>
          <w:color w:val="000000"/>
          <w:kern w:val="2"/>
          <w:sz w:val="28"/>
          <w:szCs w:val="28"/>
        </w:rPr>
      </w:pPr>
      <w:r>
        <w:rPr>
          <w:b/>
          <w:color w:val="000000"/>
          <w:kern w:val="2"/>
          <w:sz w:val="28"/>
          <w:szCs w:val="28"/>
        </w:rPr>
        <w:t>4.</w:t>
      </w:r>
      <w:r>
        <w:rPr>
          <w:rFonts w:hint="eastAsia"/>
          <w:b/>
          <w:color w:val="000000"/>
          <w:kern w:val="2"/>
          <w:sz w:val="28"/>
          <w:szCs w:val="28"/>
        </w:rPr>
        <w:t>加班加点工资：</w:t>
      </w:r>
      <w:r>
        <w:rPr>
          <w:rFonts w:hint="eastAsia"/>
          <w:color w:val="000000"/>
          <w:kern w:val="2"/>
          <w:sz w:val="28"/>
          <w:szCs w:val="28"/>
        </w:rPr>
        <w:t>是指按照国家和本</w:t>
      </w:r>
      <w:r>
        <w:rPr>
          <w:rStyle w:val="9"/>
          <w:rFonts w:hint="eastAsia"/>
          <w:sz w:val="28"/>
          <w:szCs w:val="28"/>
        </w:rPr>
        <w:t>地区有关法规政策，由企业支付的加班工资和加点工资，是调查期内劳动者因超时劳动而获得的劳动报</w:t>
      </w:r>
      <w:r>
        <w:rPr>
          <w:rFonts w:hint="eastAsia"/>
          <w:color w:val="000000"/>
          <w:kern w:val="2"/>
          <w:sz w:val="28"/>
          <w:szCs w:val="28"/>
        </w:rPr>
        <w:t>酬。</w:t>
      </w:r>
    </w:p>
    <w:p>
      <w:pPr>
        <w:pStyle w:val="8"/>
        <w:spacing w:line="400" w:lineRule="exact"/>
        <w:ind w:firstLine="562"/>
        <w:rPr>
          <w:color w:val="000000"/>
          <w:kern w:val="2"/>
          <w:sz w:val="28"/>
          <w:szCs w:val="28"/>
        </w:rPr>
      </w:pPr>
      <w:r>
        <w:rPr>
          <w:rFonts w:hint="eastAsia"/>
          <w:b/>
          <w:color w:val="000000"/>
          <w:kern w:val="2"/>
          <w:sz w:val="28"/>
          <w:szCs w:val="28"/>
        </w:rPr>
        <w:t>其他说明：</w:t>
      </w:r>
      <w:r>
        <w:rPr>
          <w:color w:val="000000"/>
          <w:kern w:val="2"/>
          <w:sz w:val="28"/>
          <w:szCs w:val="28"/>
        </w:rPr>
        <w:t>1.</w:t>
      </w:r>
      <w:r>
        <w:rPr>
          <w:rFonts w:hint="eastAsia"/>
          <w:color w:val="000000"/>
          <w:kern w:val="2"/>
          <w:sz w:val="28"/>
          <w:szCs w:val="28"/>
        </w:rPr>
        <w:t>元后不保留小数。</w:t>
      </w:r>
      <w:r>
        <w:rPr>
          <w:color w:val="000000"/>
          <w:kern w:val="2"/>
          <w:sz w:val="28"/>
          <w:szCs w:val="28"/>
        </w:rPr>
        <w:t>2.</w:t>
      </w:r>
      <w:r>
        <w:rPr>
          <w:rFonts w:hint="eastAsia"/>
          <w:color w:val="000000"/>
          <w:kern w:val="2"/>
          <w:sz w:val="28"/>
          <w:szCs w:val="28"/>
        </w:rPr>
        <w:t>产假或哺乳假、长病假或事假、旷工、待岗或下岗的原因，全年出勤率达不到企业规定工作时间</w:t>
      </w:r>
      <w:r>
        <w:rPr>
          <w:color w:val="000000"/>
          <w:kern w:val="2"/>
          <w:sz w:val="28"/>
          <w:szCs w:val="28"/>
        </w:rPr>
        <w:t>80%</w:t>
      </w:r>
      <w:r>
        <w:rPr>
          <w:rFonts w:hint="eastAsia"/>
          <w:color w:val="000000"/>
          <w:kern w:val="2"/>
          <w:sz w:val="28"/>
          <w:szCs w:val="28"/>
        </w:rPr>
        <w:t>的人员，不列入调查范围。</w:t>
      </w:r>
    </w:p>
    <w:p>
      <w:pPr>
        <w:pStyle w:val="2"/>
        <w:spacing w:before="0" w:after="0"/>
        <w:ind w:firstLine="880" w:firstLineChars="200"/>
        <w:jc w:val="center"/>
        <w:rPr>
          <w:rFonts w:ascii="Times New Roman" w:hAnsi="Times New Roman"/>
        </w:rPr>
      </w:pPr>
    </w:p>
    <w:p/>
    <w:p>
      <w:pPr>
        <w:sectPr>
          <w:pgSz w:w="11906" w:h="16838"/>
          <w:pgMar w:top="1758" w:right="1418" w:bottom="1758" w:left="1418" w:header="851" w:footer="1418" w:gutter="0"/>
          <w:pgNumType w:fmt="numberInDash"/>
          <w:cols w:space="720" w:num="1"/>
          <w:docGrid w:type="lines" w:linePitch="312" w:charSpace="0"/>
        </w:sectPr>
      </w:pPr>
    </w:p>
    <w:p/>
    <w:p>
      <w:pPr>
        <w:pStyle w:val="2"/>
        <w:jc w:val="center"/>
        <w:rPr>
          <w:rFonts w:hint="eastAsia" w:ascii="方正小标宋简体" w:hAnsi="Times New Roman" w:eastAsia="方正小标宋简体"/>
          <w:b w:val="0"/>
          <w:kern w:val="0"/>
          <w:sz w:val="36"/>
          <w:szCs w:val="36"/>
        </w:rPr>
      </w:pPr>
      <w:bookmarkStart w:id="0" w:name="_Toc466538820"/>
      <w:r>
        <w:rPr>
          <w:rFonts w:hint="eastAsia" w:ascii="方正小标宋简体" w:hAnsi="Times New Roman" w:eastAsia="方正小标宋简体"/>
          <w:b w:val="0"/>
          <w:kern w:val="0"/>
          <w:sz w:val="36"/>
          <w:szCs w:val="36"/>
        </w:rPr>
        <w:t>五、附  录</w:t>
      </w:r>
      <w:bookmarkEnd w:id="0"/>
    </w:p>
    <w:p>
      <w:pPr>
        <w:pStyle w:val="2"/>
        <w:jc w:val="center"/>
        <w:rPr>
          <w:rFonts w:ascii="Times New Roman" w:hAnsi="Times New Roman" w:eastAsia="楷体_GB2312"/>
          <w:b w:val="0"/>
          <w:kern w:val="0"/>
          <w:sz w:val="32"/>
          <w:szCs w:val="32"/>
        </w:rPr>
      </w:pPr>
      <w:bookmarkStart w:id="1" w:name="_Toc466538821"/>
      <w:r>
        <w:rPr>
          <w:rFonts w:hint="eastAsia" w:ascii="Times New Roman" w:hAnsi="Times New Roman" w:eastAsia="楷体_GB2312"/>
          <w:b w:val="0"/>
          <w:kern w:val="0"/>
          <w:sz w:val="32"/>
          <w:szCs w:val="32"/>
        </w:rPr>
        <w:t>（一）国民经济行业分类</w:t>
      </w:r>
      <w:bookmarkEnd w:id="1"/>
    </w:p>
    <w:p>
      <w:pPr>
        <w:pStyle w:val="12"/>
        <w:rPr>
          <w:rFonts w:ascii="Times New Roman" w:eastAsia="宋体"/>
          <w:color w:val="000000"/>
        </w:rPr>
      </w:pPr>
      <w:r>
        <w:rPr>
          <w:rFonts w:hint="eastAsia" w:ascii="Times New Roman" w:eastAsia="宋体"/>
          <w:color w:val="000000"/>
        </w:rPr>
        <w:t>对照《国民经济行业分类》（</w:t>
      </w:r>
      <w:r>
        <w:rPr>
          <w:rFonts w:ascii="Times New Roman" w:eastAsia="宋体"/>
          <w:color w:val="000000"/>
        </w:rPr>
        <w:t>GB/T4754</w:t>
      </w:r>
      <w:r>
        <w:rPr>
          <w:rFonts w:hint="eastAsia" w:ascii="Times New Roman" w:eastAsia="宋体"/>
          <w:color w:val="000000"/>
        </w:rPr>
        <w:t>－</w:t>
      </w:r>
      <w:r>
        <w:rPr>
          <w:rFonts w:ascii="Times New Roman" w:eastAsia="宋体"/>
          <w:color w:val="000000"/>
        </w:rPr>
        <w:t>2017</w:t>
      </w:r>
      <w:r>
        <w:rPr>
          <w:rFonts w:hint="eastAsia" w:ascii="Times New Roman" w:eastAsia="宋体"/>
          <w:color w:val="000000"/>
        </w:rPr>
        <w:t>）填写</w:t>
      </w:r>
      <w:r>
        <w:rPr>
          <w:rFonts w:ascii="Times New Roman" w:eastAsia="宋体"/>
          <w:color w:val="000000"/>
        </w:rPr>
        <w:t>3</w:t>
      </w:r>
      <w:r>
        <w:rPr>
          <w:rFonts w:hint="eastAsia" w:ascii="Times New Roman" w:eastAsia="宋体"/>
          <w:color w:val="000000"/>
        </w:rPr>
        <w:t>位（</w:t>
      </w:r>
      <w:r>
        <w:rPr>
          <w:rFonts w:ascii="Times New Roman" w:eastAsia="宋体"/>
          <w:color w:val="000000"/>
        </w:rPr>
        <w:t>1</w:t>
      </w:r>
      <w:r>
        <w:rPr>
          <w:rFonts w:hint="eastAsia" w:ascii="Times New Roman" w:eastAsia="宋体"/>
          <w:color w:val="000000"/>
        </w:rPr>
        <w:t>位字母加</w:t>
      </w:r>
      <w:r>
        <w:rPr>
          <w:rFonts w:ascii="Times New Roman" w:eastAsia="宋体"/>
          <w:color w:val="000000"/>
        </w:rPr>
        <w:t>2</w:t>
      </w:r>
      <w:r>
        <w:rPr>
          <w:rFonts w:hint="eastAsia" w:ascii="Times New Roman" w:eastAsia="宋体"/>
          <w:color w:val="000000"/>
        </w:rPr>
        <w:t>位数字）行业大类代码，各地可结合实际填写至中类或小类。</w:t>
      </w:r>
    </w:p>
    <w:p>
      <w:pPr>
        <w:pStyle w:val="13"/>
        <w:jc w:val="center"/>
        <w:rPr>
          <w:rFonts w:ascii="Times New Roman" w:eastAsia="华文中宋"/>
        </w:rPr>
      </w:pPr>
    </w:p>
    <w:p>
      <w:pPr>
        <w:pStyle w:val="14"/>
        <w:widowControl w:val="0"/>
        <w:pBdr>
          <w:bottom w:val="none" w:color="auto" w:sz="0" w:space="0"/>
        </w:pBdr>
        <w:spacing w:before="0" w:beforeAutospacing="0" w:after="0" w:afterAutospacing="0"/>
        <w:rPr>
          <w:rFonts w:ascii="Times New Roman" w:hAnsi="Times New Roman" w:eastAsia="黑体" w:cs="Times New Roman"/>
          <w:kern w:val="2"/>
        </w:rPr>
      </w:pPr>
    </w:p>
    <w:p>
      <w:pPr>
        <w:pStyle w:val="14"/>
        <w:widowControl w:val="0"/>
        <w:pBdr>
          <w:bottom w:val="none" w:color="auto" w:sz="0" w:space="0"/>
        </w:pBdr>
        <w:spacing w:before="0" w:beforeAutospacing="0" w:after="0" w:afterAutospacing="0"/>
        <w:rPr>
          <w:rFonts w:ascii="Times New Roman" w:hAnsi="Times New Roman" w:eastAsia="黑体" w:cs="Times New Roman"/>
          <w:kern w:val="2"/>
        </w:rPr>
      </w:pPr>
      <w:r>
        <w:rPr>
          <w:rFonts w:hint="eastAsia" w:ascii="Times New Roman" w:hAnsi="Times New Roman" w:eastAsia="黑体" w:cs="Times New Roman"/>
          <w:kern w:val="2"/>
        </w:rPr>
        <w:t>国民经济行业分类标准（部分）</w:t>
      </w:r>
    </w:p>
    <w:tbl>
      <w:tblPr>
        <w:tblStyle w:val="7"/>
        <w:tblW w:w="7458" w:type="dxa"/>
        <w:jc w:val="center"/>
        <w:tblInd w:w="0" w:type="dxa"/>
        <w:tblLayout w:type="fixed"/>
        <w:tblCellMar>
          <w:top w:w="0" w:type="dxa"/>
          <w:left w:w="108" w:type="dxa"/>
          <w:bottom w:w="0" w:type="dxa"/>
          <w:right w:w="108" w:type="dxa"/>
        </w:tblCellMar>
      </w:tblPr>
      <w:tblGrid>
        <w:gridCol w:w="1082"/>
        <w:gridCol w:w="1804"/>
        <w:gridCol w:w="4572"/>
      </w:tblGrid>
      <w:tr>
        <w:tblPrEx>
          <w:tblLayout w:type="fixed"/>
          <w:tblCellMar>
            <w:top w:w="0" w:type="dxa"/>
            <w:left w:w="108" w:type="dxa"/>
            <w:bottom w:w="0" w:type="dxa"/>
            <w:right w:w="108" w:type="dxa"/>
          </w:tblCellMar>
        </w:tblPrEx>
        <w:trPr>
          <w:cantSplit/>
          <w:trHeight w:val="281" w:hRule="atLeast"/>
          <w:jc w:val="center"/>
        </w:trPr>
        <w:tc>
          <w:tcPr>
            <w:tcW w:w="2886" w:type="dxa"/>
            <w:gridSpan w:val="2"/>
            <w:tcBorders>
              <w:top w:val="single" w:color="auto" w:sz="4" w:space="0"/>
              <w:bottom w:val="single" w:color="auto" w:sz="4" w:space="0"/>
              <w:right w:val="single" w:color="auto" w:sz="4" w:space="0"/>
            </w:tcBorders>
            <w:vAlign w:val="center"/>
          </w:tcPr>
          <w:p>
            <w:pPr>
              <w:pStyle w:val="13"/>
              <w:widowControl/>
              <w:jc w:val="center"/>
              <w:rPr>
                <w:rFonts w:ascii="Times New Roman"/>
                <w:bCs/>
                <w:kern w:val="0"/>
                <w:sz w:val="21"/>
                <w:szCs w:val="21"/>
              </w:rPr>
            </w:pPr>
            <w:r>
              <w:rPr>
                <w:rFonts w:hint="eastAsia" w:ascii="Times New Roman"/>
                <w:bCs/>
                <w:kern w:val="0"/>
                <w:sz w:val="21"/>
                <w:szCs w:val="21"/>
              </w:rPr>
              <w:t>代码</w:t>
            </w:r>
          </w:p>
        </w:tc>
        <w:tc>
          <w:tcPr>
            <w:tcW w:w="4572" w:type="dxa"/>
            <w:vMerge w:val="restart"/>
            <w:tcBorders>
              <w:top w:val="single" w:color="auto" w:sz="4" w:space="0"/>
              <w:left w:val="single" w:color="auto" w:sz="4" w:space="0"/>
              <w:bottom w:val="single" w:color="auto" w:sz="4" w:space="0"/>
              <w:right w:val="nil"/>
            </w:tcBorders>
            <w:vAlign w:val="center"/>
          </w:tcPr>
          <w:p>
            <w:pPr>
              <w:pStyle w:val="13"/>
              <w:widowControl/>
              <w:jc w:val="center"/>
              <w:rPr>
                <w:rFonts w:ascii="Times New Roman"/>
                <w:bCs/>
                <w:kern w:val="0"/>
                <w:sz w:val="21"/>
                <w:szCs w:val="21"/>
              </w:rPr>
            </w:pPr>
            <w:r>
              <w:rPr>
                <w:rFonts w:hint="eastAsia" w:ascii="Times New Roman"/>
                <w:bCs/>
                <w:kern w:val="0"/>
                <w:sz w:val="21"/>
                <w:szCs w:val="21"/>
              </w:rPr>
              <w:t>类别名称</w:t>
            </w:r>
          </w:p>
        </w:tc>
      </w:tr>
      <w:tr>
        <w:tblPrEx>
          <w:tblLayout w:type="fixed"/>
          <w:tblCellMar>
            <w:top w:w="0" w:type="dxa"/>
            <w:left w:w="108" w:type="dxa"/>
            <w:bottom w:w="0" w:type="dxa"/>
            <w:right w:w="108" w:type="dxa"/>
          </w:tblCellMar>
        </w:tblPrEx>
        <w:trPr>
          <w:cantSplit/>
          <w:trHeight w:val="281" w:hRule="atLeast"/>
          <w:jc w:val="center"/>
        </w:trPr>
        <w:tc>
          <w:tcPr>
            <w:tcW w:w="1082" w:type="dxa"/>
            <w:tcBorders>
              <w:top w:val="nil"/>
              <w:bottom w:val="single" w:color="auto" w:sz="4" w:space="0"/>
              <w:right w:val="single" w:color="auto" w:sz="4" w:space="0"/>
            </w:tcBorders>
            <w:vAlign w:val="center"/>
          </w:tcPr>
          <w:p>
            <w:pPr>
              <w:pStyle w:val="13"/>
              <w:widowControl/>
              <w:jc w:val="center"/>
              <w:rPr>
                <w:rFonts w:ascii="Times New Roman"/>
                <w:bCs/>
                <w:kern w:val="0"/>
                <w:sz w:val="21"/>
                <w:szCs w:val="21"/>
              </w:rPr>
            </w:pPr>
            <w:r>
              <w:rPr>
                <w:rFonts w:hint="eastAsia" w:ascii="Times New Roman"/>
                <w:bCs/>
                <w:kern w:val="0"/>
                <w:sz w:val="21"/>
                <w:szCs w:val="21"/>
              </w:rPr>
              <w:t>门类</w:t>
            </w:r>
          </w:p>
        </w:tc>
        <w:tc>
          <w:tcPr>
            <w:tcW w:w="1804" w:type="dxa"/>
            <w:tcBorders>
              <w:top w:val="nil"/>
              <w:left w:val="nil"/>
              <w:bottom w:val="single" w:color="auto" w:sz="4" w:space="0"/>
              <w:right w:val="nil"/>
            </w:tcBorders>
            <w:vAlign w:val="center"/>
          </w:tcPr>
          <w:p>
            <w:pPr>
              <w:pStyle w:val="13"/>
              <w:widowControl/>
              <w:jc w:val="center"/>
              <w:rPr>
                <w:rFonts w:ascii="Times New Roman"/>
                <w:bCs/>
                <w:kern w:val="0"/>
                <w:sz w:val="21"/>
                <w:szCs w:val="21"/>
              </w:rPr>
            </w:pPr>
            <w:r>
              <w:rPr>
                <w:rFonts w:hint="eastAsia" w:ascii="Times New Roman"/>
                <w:bCs/>
                <w:kern w:val="0"/>
                <w:sz w:val="21"/>
                <w:szCs w:val="21"/>
              </w:rPr>
              <w:t>大类</w:t>
            </w:r>
          </w:p>
        </w:tc>
        <w:tc>
          <w:tcPr>
            <w:tcW w:w="4572" w:type="dxa"/>
            <w:vMerge w:val="continue"/>
            <w:tcBorders>
              <w:top w:val="single" w:color="auto" w:sz="4" w:space="0"/>
              <w:left w:val="single" w:color="auto" w:sz="4" w:space="0"/>
              <w:bottom w:val="single" w:color="auto" w:sz="4" w:space="0"/>
              <w:right w:val="nil"/>
            </w:tcBorders>
            <w:vAlign w:val="center"/>
          </w:tcPr>
          <w:p>
            <w:pPr>
              <w:pStyle w:val="13"/>
              <w:widowControl/>
              <w:jc w:val="left"/>
              <w:rPr>
                <w:rFonts w:ascii="Times New Roman"/>
                <w:bCs/>
                <w:kern w:val="0"/>
                <w:sz w:val="21"/>
                <w:szCs w:val="21"/>
              </w:rPr>
            </w:pPr>
          </w:p>
        </w:tc>
      </w:tr>
      <w:tr>
        <w:tblPrEx>
          <w:tblLayout w:type="fixed"/>
          <w:tblCellMar>
            <w:top w:w="0" w:type="dxa"/>
            <w:left w:w="108" w:type="dxa"/>
            <w:bottom w:w="0" w:type="dxa"/>
            <w:right w:w="108" w:type="dxa"/>
          </w:tblCellMar>
        </w:tblPrEx>
        <w:trPr>
          <w:trHeight w:val="281" w:hRule="atLeast"/>
          <w:jc w:val="center"/>
        </w:trPr>
        <w:tc>
          <w:tcPr>
            <w:tcW w:w="1082" w:type="dxa"/>
            <w:tcBorders>
              <w:top w:val="nil"/>
              <w:bottom w:val="single" w:color="auto" w:sz="4" w:space="0"/>
              <w:right w:val="single" w:color="auto" w:sz="4" w:space="0"/>
            </w:tcBorders>
            <w:vAlign w:val="center"/>
          </w:tcPr>
          <w:p>
            <w:pPr>
              <w:pStyle w:val="13"/>
              <w:widowControl/>
              <w:jc w:val="center"/>
              <w:rPr>
                <w:rFonts w:ascii="Times New Roman"/>
                <w:bCs/>
                <w:kern w:val="0"/>
                <w:sz w:val="21"/>
                <w:szCs w:val="21"/>
              </w:rPr>
            </w:pPr>
            <w:r>
              <w:rPr>
                <w:rFonts w:ascii="Times New Roman"/>
                <w:b/>
                <w:bCs/>
                <w:kern w:val="0"/>
                <w:sz w:val="21"/>
                <w:szCs w:val="21"/>
              </w:rPr>
              <w:t>A</w:t>
            </w:r>
          </w:p>
        </w:tc>
        <w:tc>
          <w:tcPr>
            <w:tcW w:w="1804" w:type="dxa"/>
            <w:tcBorders>
              <w:top w:val="nil"/>
              <w:left w:val="nil"/>
              <w:bottom w:val="single" w:color="auto" w:sz="4" w:space="0"/>
              <w:right w:val="nil"/>
            </w:tcBorders>
            <w:vAlign w:val="center"/>
          </w:tcPr>
          <w:p>
            <w:pPr>
              <w:pStyle w:val="13"/>
              <w:widowControl/>
              <w:jc w:val="center"/>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农、林、牧、渔业</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nil"/>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3"/>
              <w:widowControl/>
              <w:jc w:val="center"/>
              <w:rPr>
                <w:rFonts w:ascii="Times New Roman" w:eastAsia="宋体"/>
                <w:bCs/>
                <w:kern w:val="0"/>
                <w:sz w:val="21"/>
                <w:szCs w:val="21"/>
              </w:rPr>
            </w:pPr>
            <w:r>
              <w:rPr>
                <w:rFonts w:ascii="Times New Roman"/>
                <w:bCs/>
                <w:kern w:val="0"/>
                <w:sz w:val="21"/>
                <w:szCs w:val="21"/>
              </w:rPr>
              <w:t>01</w:t>
            </w:r>
          </w:p>
        </w:tc>
        <w:tc>
          <w:tcPr>
            <w:tcW w:w="4572" w:type="dxa"/>
            <w:tcBorders>
              <w:top w:val="nil"/>
              <w:left w:val="single" w:color="auto" w:sz="4" w:space="0"/>
              <w:bottom w:val="single" w:color="auto" w:sz="4" w:space="0"/>
              <w:right w:val="nil"/>
            </w:tcBorders>
            <w:vAlign w:val="center"/>
          </w:tcPr>
          <w:p>
            <w:pPr>
              <w:pStyle w:val="13"/>
              <w:widowControl/>
              <w:rPr>
                <w:rFonts w:ascii="Times New Roman" w:eastAsia="宋体"/>
                <w:bCs/>
                <w:kern w:val="0"/>
                <w:sz w:val="21"/>
                <w:szCs w:val="21"/>
              </w:rPr>
            </w:pPr>
            <w:r>
              <w:rPr>
                <w:rFonts w:hint="eastAsia" w:ascii="Times New Roman" w:eastAsia="宋体"/>
                <w:bCs/>
                <w:kern w:val="0"/>
                <w:sz w:val="21"/>
                <w:szCs w:val="21"/>
              </w:rPr>
              <w:t>农业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3"/>
              <w:widowControl/>
              <w:jc w:val="center"/>
              <w:rPr>
                <w:rFonts w:ascii="Times New Roman" w:eastAsia="宋体"/>
                <w:bCs/>
                <w:kern w:val="0"/>
                <w:sz w:val="21"/>
                <w:szCs w:val="21"/>
              </w:rPr>
            </w:pPr>
            <w:r>
              <w:rPr>
                <w:rFonts w:ascii="Times New Roman"/>
                <w:bCs/>
                <w:kern w:val="0"/>
                <w:sz w:val="21"/>
                <w:szCs w:val="21"/>
              </w:rPr>
              <w:t>02</w:t>
            </w:r>
          </w:p>
        </w:tc>
        <w:tc>
          <w:tcPr>
            <w:tcW w:w="4572" w:type="dxa"/>
            <w:tcBorders>
              <w:top w:val="nil"/>
              <w:left w:val="single" w:color="auto" w:sz="4" w:space="0"/>
              <w:bottom w:val="single" w:color="auto" w:sz="4" w:space="0"/>
              <w:right w:val="nil"/>
            </w:tcBorders>
            <w:vAlign w:val="center"/>
          </w:tcPr>
          <w:p>
            <w:pPr>
              <w:pStyle w:val="13"/>
              <w:widowControl/>
              <w:rPr>
                <w:rFonts w:ascii="Times New Roman" w:eastAsia="宋体"/>
                <w:bCs/>
                <w:kern w:val="0"/>
                <w:sz w:val="21"/>
                <w:szCs w:val="21"/>
              </w:rPr>
            </w:pPr>
            <w:r>
              <w:rPr>
                <w:rFonts w:hint="eastAsia" w:ascii="Times New Roman" w:eastAsia="宋体"/>
                <w:bCs/>
                <w:kern w:val="0"/>
                <w:sz w:val="21"/>
                <w:szCs w:val="21"/>
              </w:rPr>
              <w:t>林业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3"/>
              <w:widowControl/>
              <w:jc w:val="center"/>
              <w:rPr>
                <w:rFonts w:ascii="Times New Roman" w:eastAsia="宋体"/>
                <w:bCs/>
                <w:kern w:val="0"/>
                <w:sz w:val="21"/>
                <w:szCs w:val="21"/>
              </w:rPr>
            </w:pPr>
            <w:r>
              <w:rPr>
                <w:rFonts w:ascii="Times New Roman"/>
                <w:bCs/>
                <w:kern w:val="0"/>
                <w:sz w:val="21"/>
                <w:szCs w:val="21"/>
              </w:rPr>
              <w:t>03</w:t>
            </w:r>
          </w:p>
        </w:tc>
        <w:tc>
          <w:tcPr>
            <w:tcW w:w="4572" w:type="dxa"/>
            <w:tcBorders>
              <w:top w:val="nil"/>
              <w:left w:val="single" w:color="auto" w:sz="4" w:space="0"/>
              <w:bottom w:val="single" w:color="auto" w:sz="4" w:space="0"/>
              <w:right w:val="nil"/>
            </w:tcBorders>
            <w:vAlign w:val="center"/>
          </w:tcPr>
          <w:p>
            <w:pPr>
              <w:pStyle w:val="13"/>
              <w:widowControl/>
              <w:rPr>
                <w:rFonts w:ascii="Times New Roman" w:eastAsia="宋体"/>
                <w:bCs/>
                <w:kern w:val="0"/>
                <w:sz w:val="21"/>
                <w:szCs w:val="21"/>
              </w:rPr>
            </w:pPr>
            <w:r>
              <w:rPr>
                <w:rFonts w:hint="eastAsia" w:ascii="Times New Roman" w:eastAsia="宋体"/>
                <w:bCs/>
                <w:kern w:val="0"/>
                <w:sz w:val="21"/>
                <w:szCs w:val="21"/>
              </w:rPr>
              <w:t>畜牧业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3"/>
              <w:widowControl/>
              <w:jc w:val="center"/>
              <w:rPr>
                <w:rFonts w:ascii="Times New Roman" w:eastAsia="宋体"/>
                <w:bCs/>
                <w:kern w:val="0"/>
                <w:sz w:val="21"/>
                <w:szCs w:val="21"/>
              </w:rPr>
            </w:pPr>
            <w:r>
              <w:rPr>
                <w:rFonts w:ascii="Times New Roman"/>
                <w:bCs/>
                <w:kern w:val="0"/>
                <w:sz w:val="21"/>
                <w:szCs w:val="21"/>
              </w:rPr>
              <w:t>04</w:t>
            </w:r>
          </w:p>
        </w:tc>
        <w:tc>
          <w:tcPr>
            <w:tcW w:w="4572" w:type="dxa"/>
            <w:tcBorders>
              <w:top w:val="nil"/>
              <w:left w:val="single" w:color="auto" w:sz="4" w:space="0"/>
              <w:bottom w:val="single" w:color="auto" w:sz="4" w:space="0"/>
              <w:right w:val="nil"/>
            </w:tcBorders>
            <w:vAlign w:val="center"/>
          </w:tcPr>
          <w:p>
            <w:pPr>
              <w:pStyle w:val="13"/>
              <w:widowControl/>
              <w:rPr>
                <w:rFonts w:ascii="Times New Roman" w:eastAsia="宋体"/>
                <w:bCs/>
                <w:kern w:val="0"/>
                <w:sz w:val="21"/>
                <w:szCs w:val="21"/>
              </w:rPr>
            </w:pPr>
            <w:r>
              <w:rPr>
                <w:rFonts w:hint="eastAsia" w:ascii="Times New Roman" w:eastAsia="宋体"/>
                <w:bCs/>
                <w:kern w:val="0"/>
                <w:sz w:val="21"/>
                <w:szCs w:val="21"/>
              </w:rPr>
              <w:t>渔业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nil"/>
              <w:left w:val="nil"/>
              <w:bottom w:val="single" w:color="auto" w:sz="4" w:space="0"/>
              <w:right w:val="nil"/>
            </w:tcBorders>
            <w:vAlign w:val="center"/>
          </w:tcPr>
          <w:p>
            <w:pPr>
              <w:pStyle w:val="13"/>
              <w:widowControl/>
              <w:jc w:val="center"/>
              <w:rPr>
                <w:rFonts w:ascii="Times New Roman" w:eastAsia="宋体"/>
                <w:bCs/>
                <w:kern w:val="0"/>
                <w:sz w:val="21"/>
                <w:szCs w:val="21"/>
              </w:rPr>
            </w:pPr>
            <w:r>
              <w:rPr>
                <w:rFonts w:ascii="Times New Roman"/>
                <w:bCs/>
                <w:kern w:val="0"/>
                <w:sz w:val="21"/>
                <w:szCs w:val="21"/>
              </w:rPr>
              <w:t>05</w:t>
            </w:r>
          </w:p>
        </w:tc>
        <w:tc>
          <w:tcPr>
            <w:tcW w:w="4572" w:type="dxa"/>
            <w:tcBorders>
              <w:top w:val="nil"/>
              <w:left w:val="single" w:color="auto" w:sz="4" w:space="0"/>
              <w:bottom w:val="single" w:color="auto" w:sz="4" w:space="0"/>
              <w:right w:val="nil"/>
            </w:tcBorders>
            <w:vAlign w:val="center"/>
          </w:tcPr>
          <w:p>
            <w:pPr>
              <w:pStyle w:val="13"/>
              <w:widowControl/>
              <w:rPr>
                <w:rFonts w:ascii="Times New Roman" w:eastAsia="宋体"/>
                <w:bCs/>
                <w:kern w:val="0"/>
                <w:sz w:val="21"/>
                <w:szCs w:val="21"/>
              </w:rPr>
            </w:pPr>
            <w:r>
              <w:rPr>
                <w:rFonts w:hint="eastAsia" w:ascii="Times New Roman" w:eastAsia="宋体"/>
                <w:bCs/>
                <w:kern w:val="0"/>
                <w:sz w:val="21"/>
                <w:szCs w:val="21"/>
              </w:rPr>
              <w:t>农、林、牧、渔服务业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nil"/>
              <w:bottom w:val="single" w:color="auto" w:sz="4" w:space="0"/>
              <w:right w:val="single" w:color="auto" w:sz="4" w:space="0"/>
            </w:tcBorders>
            <w:vAlign w:val="center"/>
          </w:tcPr>
          <w:p>
            <w:pPr>
              <w:pStyle w:val="13"/>
              <w:widowControl/>
              <w:jc w:val="center"/>
              <w:rPr>
                <w:rFonts w:ascii="Times New Roman"/>
                <w:bCs/>
                <w:kern w:val="0"/>
                <w:sz w:val="21"/>
                <w:szCs w:val="21"/>
              </w:rPr>
            </w:pPr>
            <w:r>
              <w:rPr>
                <w:rFonts w:ascii="Times New Roman"/>
                <w:b/>
                <w:bCs/>
                <w:kern w:val="0"/>
                <w:sz w:val="21"/>
                <w:szCs w:val="21"/>
              </w:rPr>
              <w:t>B</w:t>
            </w:r>
          </w:p>
        </w:tc>
        <w:tc>
          <w:tcPr>
            <w:tcW w:w="1804" w:type="dxa"/>
            <w:tcBorders>
              <w:top w:val="nil"/>
              <w:left w:val="nil"/>
              <w:bottom w:val="single" w:color="auto" w:sz="4" w:space="0"/>
              <w:right w:val="nil"/>
            </w:tcBorders>
            <w:vAlign w:val="center"/>
          </w:tcPr>
          <w:p>
            <w:pPr>
              <w:pStyle w:val="13"/>
              <w:widowControl/>
              <w:jc w:val="center"/>
              <w:rPr>
                <w:rFonts w:ascii="Times New Roman"/>
                <w:b/>
                <w:bCs/>
                <w:kern w:val="0"/>
                <w:sz w:val="21"/>
                <w:szCs w:val="21"/>
              </w:rPr>
            </w:pPr>
          </w:p>
        </w:tc>
        <w:tc>
          <w:tcPr>
            <w:tcW w:w="4572" w:type="dxa"/>
            <w:tcBorders>
              <w:top w:val="nil"/>
              <w:left w:val="single" w:color="auto" w:sz="4" w:space="0"/>
              <w:bottom w:val="single" w:color="auto" w:sz="4" w:space="0"/>
              <w:right w:val="nil"/>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采矿业</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nil"/>
              <w:left w:val="nil"/>
              <w:right w:val="nil"/>
            </w:tcBorders>
            <w:vAlign w:val="center"/>
          </w:tcPr>
          <w:p>
            <w:pPr>
              <w:pStyle w:val="13"/>
              <w:widowControl/>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eastAsia="宋体"/>
                <w:kern w:val="0"/>
                <w:sz w:val="21"/>
                <w:szCs w:val="21"/>
              </w:rPr>
              <w:t>0</w:t>
            </w:r>
            <w:r>
              <w:rPr>
                <w:rFonts w:ascii="Times New Roman"/>
                <w:kern w:val="0"/>
                <w:sz w:val="21"/>
                <w:szCs w:val="21"/>
              </w:rPr>
              <w:t>6</w:t>
            </w:r>
          </w:p>
        </w:tc>
        <w:tc>
          <w:tcPr>
            <w:tcW w:w="4572" w:type="dxa"/>
            <w:tcBorders>
              <w:top w:val="nil"/>
              <w:left w:val="single" w:color="auto" w:sz="4" w:space="0"/>
              <w:bottom w:val="single" w:color="auto" w:sz="4" w:space="0"/>
              <w:right w:val="nil"/>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煤炭开采和洗选业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eastAsia="宋体"/>
                <w:kern w:val="0"/>
                <w:sz w:val="21"/>
                <w:szCs w:val="21"/>
              </w:rPr>
              <w:t>0</w:t>
            </w:r>
            <w:r>
              <w:rPr>
                <w:rFonts w:ascii="Times New Roman"/>
                <w:kern w:val="0"/>
                <w:sz w:val="21"/>
                <w:szCs w:val="21"/>
              </w:rPr>
              <w:t>7</w:t>
            </w:r>
          </w:p>
        </w:tc>
        <w:tc>
          <w:tcPr>
            <w:tcW w:w="4572" w:type="dxa"/>
            <w:tcBorders>
              <w:top w:val="nil"/>
              <w:left w:val="single" w:color="auto" w:sz="4" w:space="0"/>
              <w:bottom w:val="single" w:color="auto" w:sz="4" w:space="0"/>
              <w:right w:val="nil"/>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石油和天然气开采业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eastAsia="宋体"/>
                <w:kern w:val="0"/>
                <w:sz w:val="21"/>
                <w:szCs w:val="21"/>
              </w:rPr>
              <w:t>0</w:t>
            </w:r>
            <w:r>
              <w:rPr>
                <w:rFonts w:ascii="Times New Roman"/>
                <w:kern w:val="0"/>
                <w:sz w:val="21"/>
                <w:szCs w:val="21"/>
              </w:rPr>
              <w:t>8</w:t>
            </w:r>
          </w:p>
        </w:tc>
        <w:tc>
          <w:tcPr>
            <w:tcW w:w="4572" w:type="dxa"/>
            <w:tcBorders>
              <w:top w:val="nil"/>
              <w:left w:val="single" w:color="auto" w:sz="4" w:space="0"/>
              <w:bottom w:val="single" w:color="auto" w:sz="4" w:space="0"/>
              <w:right w:val="nil"/>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黑色金属矿采选业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eastAsia="宋体"/>
                <w:kern w:val="0"/>
                <w:sz w:val="21"/>
                <w:szCs w:val="21"/>
              </w:rPr>
              <w:t>0</w:t>
            </w:r>
            <w:r>
              <w:rPr>
                <w:rFonts w:ascii="Times New Roman"/>
                <w:kern w:val="0"/>
                <w:sz w:val="21"/>
                <w:szCs w:val="21"/>
              </w:rPr>
              <w:t>9</w:t>
            </w:r>
          </w:p>
        </w:tc>
        <w:tc>
          <w:tcPr>
            <w:tcW w:w="4572" w:type="dxa"/>
            <w:tcBorders>
              <w:top w:val="nil"/>
              <w:left w:val="single" w:color="auto" w:sz="4" w:space="0"/>
              <w:bottom w:val="single" w:color="auto" w:sz="4" w:space="0"/>
              <w:right w:val="nil"/>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有色金属矿采选业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10</w:t>
            </w:r>
          </w:p>
        </w:tc>
        <w:tc>
          <w:tcPr>
            <w:tcW w:w="4572" w:type="dxa"/>
            <w:tcBorders>
              <w:top w:val="nil"/>
              <w:left w:val="single" w:color="auto" w:sz="4" w:space="0"/>
              <w:bottom w:val="single" w:color="auto" w:sz="4" w:space="0"/>
              <w:right w:val="nil"/>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非金属矿采选业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11</w:t>
            </w:r>
          </w:p>
        </w:tc>
        <w:tc>
          <w:tcPr>
            <w:tcW w:w="4572" w:type="dxa"/>
            <w:tcBorders>
              <w:top w:val="nil"/>
              <w:left w:val="single" w:color="auto" w:sz="4" w:space="0"/>
              <w:bottom w:val="single" w:color="auto" w:sz="4" w:space="0"/>
              <w:right w:val="nil"/>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开采辅助活动</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bottom w:val="nil"/>
              <w:right w:val="nil"/>
            </w:tcBorders>
            <w:vAlign w:val="center"/>
          </w:tcPr>
          <w:p>
            <w:pPr>
              <w:pStyle w:val="13"/>
              <w:widowControl/>
              <w:jc w:val="center"/>
              <w:rPr>
                <w:rFonts w:ascii="Times New Roman"/>
                <w:kern w:val="0"/>
                <w:sz w:val="21"/>
                <w:szCs w:val="21"/>
              </w:rPr>
            </w:pPr>
          </w:p>
        </w:tc>
        <w:tc>
          <w:tcPr>
            <w:tcW w:w="1804" w:type="dxa"/>
            <w:tcBorders>
              <w:top w:val="nil"/>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12</w:t>
            </w:r>
          </w:p>
        </w:tc>
        <w:tc>
          <w:tcPr>
            <w:tcW w:w="4572" w:type="dxa"/>
            <w:tcBorders>
              <w:top w:val="nil"/>
              <w:left w:val="single" w:color="auto" w:sz="4" w:space="0"/>
              <w:bottom w:val="single" w:color="auto" w:sz="4" w:space="0"/>
              <w:right w:val="nil"/>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其他采矿业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bCs/>
                <w:kern w:val="0"/>
                <w:sz w:val="21"/>
                <w:szCs w:val="21"/>
              </w:rPr>
            </w:pPr>
            <w:r>
              <w:rPr>
                <w:rFonts w:ascii="Times New Roman"/>
                <w:b/>
                <w:bCs/>
                <w:kern w:val="0"/>
                <w:sz w:val="21"/>
                <w:szCs w:val="21"/>
              </w:rPr>
              <w:t>C</w:t>
            </w: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bCs/>
                <w:kern w:val="0"/>
                <w:sz w:val="21"/>
                <w:szCs w:val="21"/>
              </w:rPr>
            </w:pPr>
          </w:p>
        </w:tc>
        <w:tc>
          <w:tcPr>
            <w:tcW w:w="4572" w:type="dxa"/>
            <w:tcBorders>
              <w:top w:val="single" w:color="auto" w:sz="4" w:space="0"/>
              <w:left w:val="single" w:color="auto" w:sz="4" w:space="0"/>
              <w:bottom w:val="single" w:color="auto" w:sz="4" w:space="0"/>
              <w:right w:val="nil"/>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制造业</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p>
            <w:pPr>
              <w:pStyle w:val="13"/>
              <w:widowControl/>
              <w:jc w:val="center"/>
              <w:rPr>
                <w:rFonts w:ascii="Times New Roman"/>
                <w:kern w:val="0"/>
                <w:sz w:val="21"/>
                <w:szCs w:val="21"/>
              </w:rPr>
            </w:pPr>
          </w:p>
          <w:p>
            <w:pPr>
              <w:pStyle w:val="13"/>
              <w:widowControl/>
              <w:jc w:val="center"/>
              <w:rPr>
                <w:rFonts w:ascii="Times New Roman"/>
                <w:kern w:val="0"/>
                <w:sz w:val="21"/>
                <w:szCs w:val="21"/>
              </w:rPr>
            </w:pPr>
          </w:p>
          <w:p>
            <w:pPr>
              <w:pStyle w:val="13"/>
              <w:widowControl/>
              <w:jc w:val="center"/>
              <w:rPr>
                <w:rFonts w:ascii="Times New Roman"/>
                <w:kern w:val="0"/>
                <w:sz w:val="21"/>
                <w:szCs w:val="21"/>
              </w:rPr>
            </w:pPr>
          </w:p>
          <w:p>
            <w:pPr>
              <w:pStyle w:val="13"/>
              <w:widowControl/>
              <w:jc w:val="center"/>
              <w:rPr>
                <w:rFonts w:ascii="Times New Roman"/>
                <w:kern w:val="0"/>
                <w:sz w:val="21"/>
                <w:szCs w:val="21"/>
              </w:rPr>
            </w:pPr>
          </w:p>
          <w:p>
            <w:pPr>
              <w:pStyle w:val="13"/>
              <w:widowControl/>
              <w:jc w:val="center"/>
              <w:rPr>
                <w:rFonts w:ascii="Times New Roman"/>
                <w:kern w:val="0"/>
                <w:sz w:val="21"/>
                <w:szCs w:val="21"/>
              </w:rPr>
            </w:pPr>
          </w:p>
          <w:p>
            <w:pPr>
              <w:pStyle w:val="13"/>
              <w:widowControl/>
              <w:jc w:val="center"/>
              <w:rPr>
                <w:rFonts w:ascii="Times New Roman"/>
                <w:kern w:val="0"/>
                <w:sz w:val="21"/>
                <w:szCs w:val="21"/>
              </w:rPr>
            </w:pPr>
          </w:p>
          <w:p>
            <w:pPr>
              <w:pStyle w:val="13"/>
              <w:widowControl/>
              <w:jc w:val="center"/>
              <w:rPr>
                <w:rFonts w:ascii="Times New Roman"/>
                <w:kern w:val="0"/>
                <w:sz w:val="21"/>
                <w:szCs w:val="21"/>
              </w:rPr>
            </w:pPr>
          </w:p>
          <w:p>
            <w:pPr>
              <w:pStyle w:val="13"/>
              <w:widowControl/>
              <w:jc w:val="center"/>
              <w:rPr>
                <w:rFonts w:ascii="Times New Roman"/>
                <w:kern w:val="0"/>
                <w:sz w:val="21"/>
                <w:szCs w:val="21"/>
              </w:rPr>
            </w:pPr>
          </w:p>
          <w:p>
            <w:pPr>
              <w:pStyle w:val="13"/>
              <w:widowControl/>
              <w:jc w:val="center"/>
              <w:rPr>
                <w:rFonts w:ascii="Times New Roman"/>
                <w:kern w:val="0"/>
                <w:sz w:val="21"/>
                <w:szCs w:val="21"/>
              </w:rPr>
            </w:pPr>
          </w:p>
          <w:p>
            <w:pPr>
              <w:pStyle w:val="13"/>
              <w:widowControl/>
              <w:jc w:val="center"/>
              <w:rPr>
                <w:rFonts w:ascii="Times New Roman"/>
                <w:kern w:val="0"/>
                <w:sz w:val="21"/>
                <w:szCs w:val="21"/>
              </w:rPr>
            </w:pPr>
          </w:p>
          <w:p>
            <w:pPr>
              <w:pStyle w:val="13"/>
              <w:widowControl/>
              <w:pBdr>
                <w:top w:val="single" w:color="auto" w:sz="4" w:space="1"/>
              </w:pBdr>
              <w:jc w:val="center"/>
              <w:rPr>
                <w:rFonts w:ascii="Times New Roman"/>
                <w:kern w:val="0"/>
                <w:sz w:val="21"/>
                <w:szCs w:val="21"/>
              </w:rPr>
            </w:pPr>
          </w:p>
          <w:p>
            <w:pPr>
              <w:pStyle w:val="13"/>
              <w:widowControl/>
              <w:pBdr>
                <w:top w:val="single" w:color="auto" w:sz="4" w:space="1"/>
              </w:pBdr>
              <w:jc w:val="center"/>
              <w:rPr>
                <w:rFonts w:ascii="Times New Roman"/>
                <w:kern w:val="0"/>
                <w:sz w:val="21"/>
                <w:szCs w:val="21"/>
              </w:rPr>
            </w:pPr>
          </w:p>
          <w:p>
            <w:pPr>
              <w:pStyle w:val="13"/>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13</w:t>
            </w:r>
          </w:p>
        </w:tc>
        <w:tc>
          <w:tcPr>
            <w:tcW w:w="4572" w:type="dxa"/>
            <w:tcBorders>
              <w:top w:val="single" w:color="auto" w:sz="4" w:space="0"/>
              <w:left w:val="single" w:color="auto" w:sz="4" w:space="0"/>
              <w:bottom w:val="single" w:color="auto" w:sz="4" w:space="0"/>
              <w:right w:val="nil"/>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农副食品加工业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14</w:t>
            </w:r>
          </w:p>
        </w:tc>
        <w:tc>
          <w:tcPr>
            <w:tcW w:w="4572" w:type="dxa"/>
            <w:tcBorders>
              <w:top w:val="single" w:color="auto" w:sz="4" w:space="0"/>
              <w:left w:val="single" w:color="auto" w:sz="4" w:space="0"/>
              <w:bottom w:val="single" w:color="auto" w:sz="4" w:space="0"/>
              <w:right w:val="nil"/>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食品制造业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15</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酒、饮料和精制茶制造业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16</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烟草制品业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17</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纺织业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18</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纺织服装、服饰业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19</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皮革、毛皮、羽毛及其制品和制鞋业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20</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木材加工和木、竹、藤、棕、草制品业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21</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家具制造业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22</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造纸和纸制品业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23</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印刷和记录媒介复制业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24</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文教、工美、体育和娱乐用品制造业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25</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石油加工、炼焦和核燃料加工业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26</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化学原料和化学制品制造业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27</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医药制造业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28</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化学纤维制造业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29</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橡胶和塑料制品业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30</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非金属矿物制品业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31</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黑色金属冶炼和压延加工业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32</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有色金属冶炼和压延加工业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33</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金属制品业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34</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通用设备制造业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35</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专用设备制造业</w:t>
            </w:r>
          </w:p>
        </w:tc>
      </w:tr>
      <w:tr>
        <w:tblPrEx>
          <w:tblLayout w:type="fixed"/>
          <w:tblCellMar>
            <w:top w:w="0" w:type="dxa"/>
            <w:left w:w="108" w:type="dxa"/>
            <w:bottom w:w="0" w:type="dxa"/>
            <w:right w:w="108" w:type="dxa"/>
          </w:tblCellMar>
        </w:tblPrEx>
        <w:trPr>
          <w:cantSplit/>
          <w:trHeight w:val="281" w:hRule="atLeast"/>
          <w:jc w:val="center"/>
        </w:trPr>
        <w:tc>
          <w:tcPr>
            <w:tcW w:w="1082" w:type="dxa"/>
            <w:vMerge w:val="continue"/>
            <w:tcBorders>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36</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汽车制造业</w:t>
            </w:r>
          </w:p>
        </w:tc>
      </w:tr>
      <w:tr>
        <w:tblPrEx>
          <w:tblLayout w:type="fixed"/>
          <w:tblCellMar>
            <w:top w:w="0" w:type="dxa"/>
            <w:left w:w="108" w:type="dxa"/>
            <w:bottom w:w="0" w:type="dxa"/>
            <w:right w:w="108" w:type="dxa"/>
          </w:tblCellMar>
        </w:tblPrEx>
        <w:trPr>
          <w:cantSplit/>
          <w:trHeight w:val="281" w:hRule="atLeast"/>
          <w:jc w:val="center"/>
        </w:trPr>
        <w:tc>
          <w:tcPr>
            <w:tcW w:w="1082" w:type="dxa"/>
            <w:vMerge w:val="continue"/>
            <w:tcBorders>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37</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铁路、船舶、航空航天和其他运输设备制造业</w:t>
            </w:r>
          </w:p>
        </w:tc>
      </w:tr>
      <w:tr>
        <w:tblPrEx>
          <w:tblLayout w:type="fixed"/>
          <w:tblCellMar>
            <w:top w:w="0" w:type="dxa"/>
            <w:left w:w="108" w:type="dxa"/>
            <w:bottom w:w="0" w:type="dxa"/>
            <w:right w:w="108" w:type="dxa"/>
          </w:tblCellMar>
        </w:tblPrEx>
        <w:trPr>
          <w:cantSplit/>
          <w:trHeight w:val="281" w:hRule="atLeast"/>
          <w:jc w:val="center"/>
        </w:trPr>
        <w:tc>
          <w:tcPr>
            <w:tcW w:w="1082" w:type="dxa"/>
            <w:vMerge w:val="continue"/>
            <w:tcBorders>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38</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电气机械和器材制造业</w:t>
            </w:r>
          </w:p>
        </w:tc>
      </w:tr>
      <w:tr>
        <w:tblPrEx>
          <w:tblLayout w:type="fixed"/>
          <w:tblCellMar>
            <w:top w:w="0" w:type="dxa"/>
            <w:left w:w="108" w:type="dxa"/>
            <w:bottom w:w="0" w:type="dxa"/>
            <w:right w:w="108" w:type="dxa"/>
          </w:tblCellMar>
        </w:tblPrEx>
        <w:trPr>
          <w:cantSplit/>
          <w:trHeight w:val="281" w:hRule="atLeast"/>
          <w:jc w:val="center"/>
        </w:trPr>
        <w:tc>
          <w:tcPr>
            <w:tcW w:w="1082" w:type="dxa"/>
            <w:vMerge w:val="continue"/>
            <w:tcBorders>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39</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计算机、通信和其他电子设备制造业</w:t>
            </w:r>
          </w:p>
        </w:tc>
      </w:tr>
      <w:tr>
        <w:tblPrEx>
          <w:tblLayout w:type="fixed"/>
          <w:tblCellMar>
            <w:top w:w="0" w:type="dxa"/>
            <w:left w:w="108" w:type="dxa"/>
            <w:bottom w:w="0" w:type="dxa"/>
            <w:right w:w="108" w:type="dxa"/>
          </w:tblCellMar>
        </w:tblPrEx>
        <w:trPr>
          <w:cantSplit/>
          <w:trHeight w:val="281" w:hRule="atLeast"/>
          <w:jc w:val="center"/>
        </w:trPr>
        <w:tc>
          <w:tcPr>
            <w:tcW w:w="1082" w:type="dxa"/>
            <w:vMerge w:val="continue"/>
            <w:tcBorders>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40</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仪器仪表制造业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41</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其他制造业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42</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废弃资源综合利用业</w:t>
            </w:r>
          </w:p>
        </w:tc>
      </w:tr>
      <w:tr>
        <w:tblPrEx>
          <w:tblLayout w:type="fixed"/>
          <w:tblCellMar>
            <w:top w:w="0" w:type="dxa"/>
            <w:left w:w="108" w:type="dxa"/>
            <w:bottom w:w="0" w:type="dxa"/>
            <w:right w:w="108" w:type="dxa"/>
          </w:tblCellMar>
        </w:tblPrEx>
        <w:trPr>
          <w:trHeight w:val="297" w:hRule="atLeast"/>
          <w:jc w:val="center"/>
        </w:trPr>
        <w:tc>
          <w:tcPr>
            <w:tcW w:w="1082" w:type="dxa"/>
            <w:vMerge w:val="continue"/>
            <w:tcBorders>
              <w:left w:val="nil"/>
              <w:bottom w:val="single" w:color="auto" w:sz="4" w:space="0"/>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43</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金属制品、机械和设备修理业</w:t>
            </w:r>
          </w:p>
        </w:tc>
      </w:tr>
      <w:tr>
        <w:tblPrEx>
          <w:tblLayout w:type="fixed"/>
          <w:tblCellMar>
            <w:top w:w="0" w:type="dxa"/>
            <w:left w:w="108" w:type="dxa"/>
            <w:bottom w:w="0" w:type="dxa"/>
            <w:right w:w="108" w:type="dxa"/>
          </w:tblCellMar>
        </w:tblPrEx>
        <w:trPr>
          <w:trHeight w:val="297" w:hRule="atLeast"/>
          <w:jc w:val="center"/>
        </w:trPr>
        <w:tc>
          <w:tcPr>
            <w:tcW w:w="1082" w:type="dxa"/>
            <w:tcBorders>
              <w:top w:val="single" w:color="auto" w:sz="4" w:space="0"/>
              <w:left w:val="nil"/>
              <w:bottom w:val="single" w:color="auto" w:sz="8" w:space="0"/>
              <w:right w:val="nil"/>
            </w:tcBorders>
            <w:vAlign w:val="center"/>
          </w:tcPr>
          <w:p>
            <w:pPr>
              <w:pStyle w:val="13"/>
              <w:widowControl/>
              <w:jc w:val="center"/>
              <w:rPr>
                <w:rFonts w:ascii="Times New Roman"/>
                <w:kern w:val="0"/>
                <w:sz w:val="21"/>
                <w:szCs w:val="21"/>
              </w:rPr>
            </w:pPr>
            <w:r>
              <w:rPr>
                <w:rFonts w:ascii="Times New Roman"/>
                <w:b/>
                <w:bCs/>
                <w:kern w:val="0"/>
                <w:sz w:val="21"/>
                <w:szCs w:val="21"/>
              </w:rPr>
              <w:t>D</w:t>
            </w: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b/>
                <w:bCs/>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电力、热力、燃气及水生产和供应业</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nil"/>
              <w:left w:val="nil"/>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44</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电力、热力生产和供应业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45</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燃气生产和供应业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bottom w:val="nil"/>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46</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水的生产和供应业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b/>
                <w:bCs/>
                <w:kern w:val="0"/>
                <w:sz w:val="21"/>
                <w:szCs w:val="21"/>
              </w:rPr>
            </w:pPr>
            <w:r>
              <w:rPr>
                <w:rFonts w:ascii="Times New Roman"/>
                <w:b/>
                <w:bCs/>
                <w:kern w:val="0"/>
                <w:sz w:val="21"/>
                <w:szCs w:val="21"/>
              </w:rPr>
              <w:t>E</w:t>
            </w: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b/>
                <w:bCs/>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建筑业</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nil"/>
              <w:left w:val="nil"/>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47</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房屋建筑业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48</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土木工程建筑业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49</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建筑安装业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bottom w:val="nil"/>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50</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建筑装饰和其他建筑业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b/>
                <w:bCs/>
                <w:kern w:val="0"/>
                <w:sz w:val="21"/>
                <w:szCs w:val="21"/>
              </w:rPr>
            </w:pPr>
            <w:r>
              <w:rPr>
                <w:rFonts w:ascii="Times New Roman"/>
                <w:b/>
                <w:bCs/>
                <w:kern w:val="0"/>
                <w:sz w:val="21"/>
                <w:szCs w:val="21"/>
              </w:rPr>
              <w:t>F</w:t>
            </w: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bCs/>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批发和零售业</w:t>
            </w:r>
          </w:p>
        </w:tc>
      </w:tr>
      <w:tr>
        <w:tblPrEx>
          <w:tblLayout w:type="fixed"/>
          <w:tblCellMar>
            <w:top w:w="0" w:type="dxa"/>
            <w:left w:w="108" w:type="dxa"/>
            <w:bottom w:w="0" w:type="dxa"/>
            <w:right w:w="108" w:type="dxa"/>
          </w:tblCellMar>
        </w:tblPrEx>
        <w:trPr>
          <w:cantSplit/>
          <w:trHeight w:val="281" w:hRule="atLeast"/>
          <w:jc w:val="center"/>
        </w:trPr>
        <w:tc>
          <w:tcPr>
            <w:tcW w:w="1082" w:type="dxa"/>
            <w:vMerge w:val="restart"/>
            <w:tcBorders>
              <w:top w:val="nil"/>
              <w:left w:val="nil"/>
              <w:bottom w:val="single" w:color="000000" w:sz="4" w:space="0"/>
              <w:right w:val="single" w:color="auto" w:sz="4" w:space="0"/>
            </w:tcBorders>
            <w:vAlign w:val="center"/>
          </w:tcPr>
          <w:p>
            <w:pPr>
              <w:pStyle w:val="13"/>
              <w:widowControl/>
              <w:jc w:val="center"/>
              <w:rPr>
                <w:rFonts w:ascii="Times New Roman"/>
                <w:bCs/>
                <w:kern w:val="0"/>
                <w:sz w:val="21"/>
                <w:szCs w:val="21"/>
              </w:rPr>
            </w:pP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51</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批发业</w:t>
            </w:r>
          </w:p>
        </w:tc>
      </w:tr>
      <w:tr>
        <w:tblPrEx>
          <w:tblLayout w:type="fixed"/>
          <w:tblCellMar>
            <w:top w:w="0" w:type="dxa"/>
            <w:left w:w="108" w:type="dxa"/>
            <w:bottom w:w="0" w:type="dxa"/>
            <w:right w:w="108" w:type="dxa"/>
          </w:tblCellMar>
        </w:tblPrEx>
        <w:trPr>
          <w:cantSplit/>
          <w:trHeight w:val="281" w:hRule="atLeast"/>
          <w:jc w:val="center"/>
        </w:trPr>
        <w:tc>
          <w:tcPr>
            <w:tcW w:w="1082" w:type="dxa"/>
            <w:vMerge w:val="continue"/>
            <w:tcBorders>
              <w:top w:val="nil"/>
              <w:left w:val="nil"/>
              <w:bottom w:val="single" w:color="000000" w:sz="4" w:space="0"/>
              <w:right w:val="single" w:color="auto" w:sz="4" w:space="0"/>
            </w:tcBorders>
            <w:vAlign w:val="center"/>
          </w:tcPr>
          <w:p>
            <w:pPr>
              <w:pStyle w:val="13"/>
              <w:widowControl/>
              <w:jc w:val="center"/>
              <w:rPr>
                <w:rFonts w:ascii="Times New Roman"/>
                <w:bCs/>
                <w:kern w:val="0"/>
                <w:sz w:val="21"/>
                <w:szCs w:val="21"/>
              </w:rPr>
            </w:pP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52</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零售业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nil"/>
              <w:left w:val="nil"/>
              <w:bottom w:val="single" w:color="auto" w:sz="4" w:space="0"/>
              <w:right w:val="nil"/>
            </w:tcBorders>
            <w:vAlign w:val="center"/>
          </w:tcPr>
          <w:p>
            <w:pPr>
              <w:pStyle w:val="13"/>
              <w:widowControl/>
              <w:jc w:val="center"/>
              <w:rPr>
                <w:rFonts w:ascii="Times New Roman"/>
                <w:b/>
                <w:bCs/>
                <w:kern w:val="0"/>
                <w:sz w:val="21"/>
                <w:szCs w:val="21"/>
              </w:rPr>
            </w:pPr>
            <w:r>
              <w:rPr>
                <w:rFonts w:ascii="Times New Roman"/>
                <w:b/>
                <w:bCs/>
                <w:kern w:val="0"/>
                <w:sz w:val="21"/>
                <w:szCs w:val="21"/>
              </w:rPr>
              <w:t>G</w:t>
            </w: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b/>
                <w:bCs/>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交通运输、仓储和邮政业</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nil"/>
              <w:left w:val="nil"/>
              <w:right w:val="nil"/>
            </w:tcBorders>
            <w:vAlign w:val="center"/>
          </w:tcPr>
          <w:p>
            <w:pPr>
              <w:pStyle w:val="13"/>
              <w:widowControl/>
              <w:jc w:val="center"/>
              <w:rPr>
                <w:rFonts w:ascii="Times New Roman"/>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53</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铁路运输业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54</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道路运输业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55</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水上运输业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56</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航空运输业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57</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管道运输业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58</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装卸搬运和运输代理业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59</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仓储业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bottom w:val="single" w:color="auto" w:sz="4" w:space="0"/>
              <w:right w:val="nil"/>
            </w:tcBorders>
            <w:vAlign w:val="center"/>
          </w:tcPr>
          <w:p>
            <w:pPr>
              <w:pStyle w:val="13"/>
              <w:widowControl/>
              <w:jc w:val="center"/>
              <w:rPr>
                <w:rFonts w:ascii="Times New Roman"/>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60</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邮政业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bCs/>
                <w:kern w:val="0"/>
                <w:sz w:val="21"/>
                <w:szCs w:val="21"/>
              </w:rPr>
            </w:pPr>
            <w:r>
              <w:rPr>
                <w:rFonts w:ascii="Times New Roman"/>
                <w:b/>
                <w:bCs/>
                <w:kern w:val="0"/>
                <w:sz w:val="21"/>
                <w:szCs w:val="21"/>
              </w:rPr>
              <w:t>H</w:t>
            </w: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b/>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住宿和餐饮业</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single" w:color="auto" w:sz="4" w:space="0"/>
              <w:left w:val="nil"/>
              <w:bottom w:val="single" w:color="auto" w:sz="4" w:space="0"/>
              <w:right w:val="nil"/>
            </w:tcBorders>
            <w:vAlign w:val="center"/>
          </w:tcPr>
          <w:p>
            <w:pPr>
              <w:pStyle w:val="13"/>
              <w:widowControl/>
              <w:jc w:val="center"/>
              <w:rPr>
                <w:rFonts w:ascii="Times New Roman"/>
                <w:i/>
                <w:iCs/>
                <w:kern w:val="0"/>
                <w:sz w:val="21"/>
                <w:szCs w:val="21"/>
              </w:rPr>
            </w:pPr>
          </w:p>
          <w:p>
            <w:pPr>
              <w:pStyle w:val="13"/>
              <w:widowControl/>
              <w:jc w:val="center"/>
              <w:rPr>
                <w:rFonts w:ascii="Times New Roman"/>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61</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住宿业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top w:val="single" w:color="auto" w:sz="4" w:space="0"/>
              <w:left w:val="nil"/>
              <w:bottom w:val="nil"/>
              <w:right w:val="nil"/>
            </w:tcBorders>
            <w:vAlign w:val="center"/>
          </w:tcPr>
          <w:p>
            <w:pPr>
              <w:pStyle w:val="13"/>
              <w:widowControl/>
              <w:jc w:val="center"/>
              <w:rPr>
                <w:rFonts w:ascii="Times New Roman"/>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62</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餐饮业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bCs/>
                <w:kern w:val="0"/>
                <w:sz w:val="21"/>
                <w:szCs w:val="21"/>
              </w:rPr>
            </w:pPr>
            <w:r>
              <w:rPr>
                <w:rFonts w:ascii="Times New Roman"/>
                <w:b/>
                <w:bCs/>
                <w:kern w:val="0"/>
                <w:sz w:val="21"/>
                <w:szCs w:val="21"/>
              </w:rPr>
              <w:t>I</w:t>
            </w: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bCs/>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信息传输、软件和信息技术服务业</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nil"/>
              <w:left w:val="nil"/>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63</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电信、广播电视和卫星传输服务</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64</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互联网和相关服务</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bottom w:val="nil"/>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65</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软件和信息技术服务业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b/>
                <w:bCs/>
                <w:kern w:val="0"/>
                <w:sz w:val="21"/>
                <w:szCs w:val="21"/>
              </w:rPr>
            </w:pPr>
            <w:r>
              <w:rPr>
                <w:rFonts w:ascii="Times New Roman"/>
                <w:b/>
                <w:bCs/>
                <w:kern w:val="0"/>
                <w:sz w:val="21"/>
                <w:szCs w:val="21"/>
              </w:rPr>
              <w:t>J</w:t>
            </w: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b/>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金融业</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nil"/>
              <w:left w:val="nil"/>
              <w:right w:val="nil"/>
            </w:tcBorders>
            <w:vAlign w:val="center"/>
          </w:tcPr>
          <w:p>
            <w:pPr>
              <w:pStyle w:val="13"/>
              <w:widowControl/>
              <w:jc w:val="center"/>
              <w:rPr>
                <w:rFonts w:ascii="Times New Roman"/>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66</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货币金融服务</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67</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资本市场服务</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right w:val="nil"/>
            </w:tcBorders>
            <w:vAlign w:val="center"/>
          </w:tcPr>
          <w:p>
            <w:pPr>
              <w:pStyle w:val="13"/>
              <w:widowControl/>
              <w:jc w:val="center"/>
              <w:rPr>
                <w:rFonts w:ascii="Times New Roman"/>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68</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保险业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bottom w:val="nil"/>
              <w:right w:val="nil"/>
            </w:tcBorders>
            <w:vAlign w:val="center"/>
          </w:tcPr>
          <w:p>
            <w:pPr>
              <w:pStyle w:val="13"/>
              <w:widowControl/>
              <w:jc w:val="center"/>
              <w:rPr>
                <w:rFonts w:ascii="Times New Roman"/>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69</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其他金融业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b/>
                <w:bCs/>
                <w:kern w:val="0"/>
                <w:sz w:val="21"/>
                <w:szCs w:val="21"/>
              </w:rPr>
            </w:pPr>
            <w:r>
              <w:rPr>
                <w:rFonts w:ascii="Times New Roman"/>
                <w:b/>
                <w:bCs/>
                <w:kern w:val="0"/>
                <w:sz w:val="21"/>
                <w:szCs w:val="21"/>
              </w:rPr>
              <w:t>K</w:t>
            </w: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b/>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房地产业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nil"/>
              <w:left w:val="nil"/>
              <w:bottom w:val="nil"/>
              <w:right w:val="nil"/>
            </w:tcBorders>
            <w:vAlign w:val="center"/>
          </w:tcPr>
          <w:p>
            <w:pPr>
              <w:pStyle w:val="13"/>
              <w:widowControl/>
              <w:jc w:val="center"/>
              <w:rPr>
                <w:rFonts w:ascii="Times New Roman"/>
                <w:bCs/>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70</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房地产业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b/>
                <w:bCs/>
                <w:kern w:val="0"/>
                <w:sz w:val="21"/>
                <w:szCs w:val="21"/>
              </w:rPr>
            </w:pPr>
            <w:r>
              <w:rPr>
                <w:rFonts w:ascii="Times New Roman"/>
                <w:b/>
                <w:bCs/>
                <w:kern w:val="0"/>
                <w:sz w:val="21"/>
                <w:szCs w:val="21"/>
              </w:rPr>
              <w:t>L</w:t>
            </w: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b/>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租赁和商务服务业</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nil"/>
              <w:left w:val="nil"/>
              <w:right w:val="nil"/>
            </w:tcBorders>
            <w:vAlign w:val="center"/>
          </w:tcPr>
          <w:p>
            <w:pPr>
              <w:pStyle w:val="13"/>
              <w:widowControl/>
              <w:jc w:val="center"/>
              <w:rPr>
                <w:rFonts w:ascii="Times New Roman"/>
                <w:bCs/>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71</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租赁业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left w:val="nil"/>
              <w:bottom w:val="nil"/>
              <w:right w:val="nil"/>
            </w:tcBorders>
            <w:vAlign w:val="center"/>
          </w:tcPr>
          <w:p>
            <w:pPr>
              <w:pStyle w:val="13"/>
              <w:widowControl/>
              <w:jc w:val="center"/>
              <w:rPr>
                <w:rFonts w:ascii="Times New Roman"/>
                <w:bCs/>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72</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商务服务业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b/>
                <w:bCs/>
                <w:kern w:val="0"/>
                <w:sz w:val="21"/>
                <w:szCs w:val="21"/>
              </w:rPr>
            </w:pPr>
            <w:r>
              <w:rPr>
                <w:rFonts w:ascii="Times New Roman"/>
                <w:b/>
                <w:bCs/>
                <w:kern w:val="0"/>
                <w:sz w:val="21"/>
                <w:szCs w:val="21"/>
              </w:rPr>
              <w:t>M</w:t>
            </w: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b/>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科学研究和技术服务业</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eastAsia="宋体"/>
                <w:kern w:val="0"/>
                <w:sz w:val="21"/>
                <w:szCs w:val="21"/>
              </w:rPr>
            </w:pPr>
            <w:r>
              <w:rPr>
                <w:rFonts w:ascii="Times New Roman"/>
                <w:kern w:val="0"/>
                <w:sz w:val="21"/>
                <w:szCs w:val="21"/>
              </w:rPr>
              <w:t>73</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Cs/>
                <w:kern w:val="0"/>
                <w:sz w:val="21"/>
                <w:szCs w:val="21"/>
              </w:rPr>
            </w:pPr>
            <w:r>
              <w:rPr>
                <w:rFonts w:hint="eastAsia" w:ascii="Times New Roman" w:eastAsia="宋体"/>
                <w:bCs/>
                <w:kern w:val="0"/>
                <w:sz w:val="21"/>
                <w:szCs w:val="21"/>
              </w:rPr>
              <w:t>研究与试验发展</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eastAsia="宋体"/>
                <w:kern w:val="0"/>
                <w:sz w:val="21"/>
                <w:szCs w:val="21"/>
              </w:rPr>
            </w:pPr>
            <w:r>
              <w:rPr>
                <w:rFonts w:ascii="Times New Roman"/>
                <w:kern w:val="0"/>
                <w:sz w:val="21"/>
                <w:szCs w:val="21"/>
              </w:rPr>
              <w:t>74</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Cs/>
                <w:kern w:val="0"/>
                <w:sz w:val="21"/>
                <w:szCs w:val="21"/>
              </w:rPr>
            </w:pPr>
            <w:r>
              <w:rPr>
                <w:rFonts w:hint="eastAsia" w:ascii="Times New Roman" w:eastAsia="宋体"/>
                <w:bCs/>
                <w:kern w:val="0"/>
                <w:sz w:val="21"/>
                <w:szCs w:val="21"/>
              </w:rPr>
              <w:t>专业技术服务业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eastAsia="宋体"/>
                <w:kern w:val="0"/>
                <w:sz w:val="21"/>
                <w:szCs w:val="21"/>
              </w:rPr>
            </w:pPr>
            <w:r>
              <w:rPr>
                <w:rFonts w:ascii="Times New Roman"/>
                <w:kern w:val="0"/>
                <w:sz w:val="21"/>
                <w:szCs w:val="21"/>
              </w:rPr>
              <w:t>75</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Cs/>
                <w:kern w:val="0"/>
                <w:sz w:val="21"/>
                <w:szCs w:val="21"/>
              </w:rPr>
            </w:pPr>
            <w:r>
              <w:rPr>
                <w:rFonts w:hint="eastAsia" w:ascii="Times New Roman" w:eastAsia="宋体"/>
                <w:bCs/>
                <w:kern w:val="0"/>
                <w:sz w:val="21"/>
                <w:szCs w:val="21"/>
              </w:rPr>
              <w:t>科技推广和应用服务业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b/>
                <w:bCs/>
                <w:kern w:val="0"/>
                <w:sz w:val="21"/>
                <w:szCs w:val="21"/>
              </w:rPr>
            </w:pPr>
            <w:r>
              <w:rPr>
                <w:rFonts w:ascii="Times New Roman"/>
                <w:b/>
                <w:bCs/>
                <w:kern w:val="0"/>
                <w:sz w:val="21"/>
                <w:szCs w:val="21"/>
              </w:rPr>
              <w:t>N</w:t>
            </w: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b/>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水利环境和公共设施管理业</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nil"/>
              <w:left w:val="nil"/>
              <w:right w:val="nil"/>
            </w:tcBorders>
            <w:vAlign w:val="center"/>
          </w:tcPr>
          <w:p>
            <w:pPr>
              <w:pStyle w:val="13"/>
              <w:widowControl/>
              <w:jc w:val="center"/>
              <w:rPr>
                <w:rFonts w:ascii="Times New Roman"/>
                <w:b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76</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水利管理业</w:t>
            </w:r>
          </w:p>
        </w:tc>
      </w:tr>
      <w:tr>
        <w:tblPrEx>
          <w:tblLayout w:type="fixed"/>
          <w:tblCellMar>
            <w:top w:w="0" w:type="dxa"/>
            <w:left w:w="108" w:type="dxa"/>
            <w:bottom w:w="0" w:type="dxa"/>
            <w:right w:w="108" w:type="dxa"/>
          </w:tblCellMar>
        </w:tblPrEx>
        <w:trPr>
          <w:cantSplit/>
          <w:trHeight w:val="281" w:hRule="atLeast"/>
          <w:jc w:val="center"/>
        </w:trPr>
        <w:tc>
          <w:tcPr>
            <w:tcW w:w="1082" w:type="dxa"/>
            <w:vMerge w:val="continue"/>
            <w:tcBorders>
              <w:left w:val="nil"/>
              <w:right w:val="nil"/>
            </w:tcBorders>
            <w:vAlign w:val="center"/>
          </w:tcPr>
          <w:p>
            <w:pPr>
              <w:pStyle w:val="13"/>
              <w:widowControl/>
              <w:jc w:val="center"/>
              <w:rPr>
                <w:rFonts w:ascii="Times New Roman"/>
                <w:bCs/>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77</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生态保护和环境治理业</w:t>
            </w:r>
            <w:r>
              <w:rPr>
                <w:rFonts w:ascii="Times New Roman" w:eastAsia="宋体"/>
                <w:kern w:val="0"/>
                <w:sz w:val="21"/>
                <w:szCs w:val="21"/>
              </w:rPr>
              <w:t xml:space="preserve"> </w:t>
            </w:r>
          </w:p>
        </w:tc>
      </w:tr>
      <w:tr>
        <w:tblPrEx>
          <w:tblLayout w:type="fixed"/>
          <w:tblCellMar>
            <w:top w:w="0" w:type="dxa"/>
            <w:left w:w="108" w:type="dxa"/>
            <w:bottom w:w="0" w:type="dxa"/>
            <w:right w:w="108" w:type="dxa"/>
          </w:tblCellMar>
        </w:tblPrEx>
        <w:trPr>
          <w:cantSplit/>
          <w:trHeight w:val="281" w:hRule="atLeast"/>
          <w:jc w:val="center"/>
        </w:trPr>
        <w:tc>
          <w:tcPr>
            <w:tcW w:w="1082" w:type="dxa"/>
            <w:vMerge w:val="continue"/>
            <w:tcBorders>
              <w:left w:val="nil"/>
              <w:bottom w:val="nil"/>
              <w:right w:val="nil"/>
            </w:tcBorders>
            <w:vAlign w:val="center"/>
          </w:tcPr>
          <w:p>
            <w:pPr>
              <w:pStyle w:val="13"/>
              <w:widowControl/>
              <w:jc w:val="center"/>
              <w:rPr>
                <w:rFonts w:ascii="Times New Roman"/>
                <w:bCs/>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78</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公共设施管理业</w:t>
            </w:r>
          </w:p>
        </w:tc>
      </w:tr>
      <w:tr>
        <w:tblPrEx>
          <w:tblLayout w:type="fixed"/>
          <w:tblCellMar>
            <w:top w:w="0" w:type="dxa"/>
            <w:left w:w="108" w:type="dxa"/>
            <w:bottom w:w="0" w:type="dxa"/>
            <w:right w:w="108" w:type="dxa"/>
          </w:tblCellMar>
        </w:tblPrEx>
        <w:trPr>
          <w:cantSplit/>
          <w:trHeight w:val="281" w:hRule="atLeast"/>
          <w:jc w:val="center"/>
        </w:trPr>
        <w:tc>
          <w:tcPr>
            <w:tcW w:w="1082" w:type="dxa"/>
            <w:tcBorders>
              <w:left w:val="nil"/>
              <w:bottom w:val="nil"/>
              <w:right w:val="nil"/>
            </w:tcBorders>
            <w:vAlign w:val="center"/>
          </w:tcPr>
          <w:p>
            <w:pPr>
              <w:pStyle w:val="13"/>
              <w:widowControl/>
              <w:jc w:val="center"/>
              <w:rPr>
                <w:rFonts w:ascii="Times New Roman"/>
                <w:bCs/>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79</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土地管理业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b/>
                <w:bCs/>
                <w:kern w:val="0"/>
                <w:sz w:val="21"/>
                <w:szCs w:val="21"/>
              </w:rPr>
            </w:pPr>
            <w:r>
              <w:rPr>
                <w:rFonts w:ascii="Times New Roman"/>
                <w:b/>
                <w:bCs/>
                <w:kern w:val="0"/>
                <w:sz w:val="21"/>
                <w:szCs w:val="21"/>
              </w:rPr>
              <w:t>O</w:t>
            </w: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b/>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居民服务、修理和其他服务业</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80</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居民服务业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81</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机动车、电子产品和日用产品修理业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82</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其他服务业</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b/>
                <w:bCs/>
                <w:kern w:val="0"/>
                <w:sz w:val="21"/>
                <w:szCs w:val="21"/>
              </w:rPr>
            </w:pPr>
            <w:r>
              <w:rPr>
                <w:rFonts w:ascii="Times New Roman"/>
                <w:b/>
                <w:bCs/>
                <w:kern w:val="0"/>
                <w:sz w:val="21"/>
                <w:szCs w:val="21"/>
              </w:rPr>
              <w:t>P</w:t>
            </w: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eastAsia="宋体"/>
                <w:b/>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教育</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eastAsia="宋体"/>
                <w:kern w:val="0"/>
                <w:sz w:val="21"/>
                <w:szCs w:val="21"/>
              </w:rPr>
            </w:pPr>
            <w:r>
              <w:rPr>
                <w:rFonts w:ascii="Times New Roman"/>
                <w:kern w:val="0"/>
                <w:sz w:val="21"/>
                <w:szCs w:val="21"/>
              </w:rPr>
              <w:t>83</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Cs/>
                <w:kern w:val="0"/>
                <w:sz w:val="21"/>
                <w:szCs w:val="21"/>
              </w:rPr>
            </w:pPr>
            <w:r>
              <w:rPr>
                <w:rFonts w:hint="eastAsia" w:ascii="Times New Roman" w:eastAsia="宋体"/>
                <w:bCs/>
                <w:kern w:val="0"/>
                <w:sz w:val="21"/>
                <w:szCs w:val="21"/>
              </w:rPr>
              <w:t>教育</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eastAsia="宋体"/>
                <w:b/>
                <w:bCs/>
                <w:kern w:val="0"/>
                <w:sz w:val="21"/>
                <w:szCs w:val="21"/>
              </w:rPr>
            </w:pPr>
            <w:r>
              <w:rPr>
                <w:rFonts w:ascii="Times New Roman"/>
                <w:b/>
                <w:bCs/>
                <w:kern w:val="0"/>
                <w:sz w:val="21"/>
                <w:szCs w:val="21"/>
              </w:rPr>
              <w:t>Q</w:t>
            </w: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eastAsia="宋体"/>
                <w:b/>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卫生和社会工作</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eastAsia="宋体"/>
                <w:kern w:val="0"/>
                <w:sz w:val="21"/>
                <w:szCs w:val="21"/>
              </w:rPr>
            </w:pPr>
            <w:r>
              <w:rPr>
                <w:rFonts w:ascii="Times New Roman"/>
                <w:kern w:val="0"/>
                <w:sz w:val="21"/>
                <w:szCs w:val="21"/>
              </w:rPr>
              <w:t>84</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Cs/>
                <w:kern w:val="0"/>
                <w:sz w:val="21"/>
                <w:szCs w:val="21"/>
              </w:rPr>
            </w:pPr>
            <w:r>
              <w:rPr>
                <w:rFonts w:hint="eastAsia" w:ascii="Times New Roman" w:eastAsia="宋体"/>
                <w:bCs/>
                <w:kern w:val="0"/>
                <w:sz w:val="21"/>
                <w:szCs w:val="21"/>
              </w:rPr>
              <w:t>卫生</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bottom w:val="single" w:color="auto" w:sz="4" w:space="0"/>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eastAsia="宋体"/>
                <w:kern w:val="0"/>
                <w:sz w:val="21"/>
                <w:szCs w:val="21"/>
              </w:rPr>
            </w:pPr>
            <w:r>
              <w:rPr>
                <w:rFonts w:ascii="Times New Roman"/>
                <w:kern w:val="0"/>
                <w:sz w:val="21"/>
                <w:szCs w:val="21"/>
              </w:rPr>
              <w:t>85</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Cs/>
                <w:kern w:val="0"/>
                <w:sz w:val="21"/>
                <w:szCs w:val="21"/>
              </w:rPr>
            </w:pPr>
            <w:r>
              <w:rPr>
                <w:rFonts w:hint="eastAsia" w:ascii="Times New Roman" w:eastAsia="宋体"/>
                <w:bCs/>
                <w:kern w:val="0"/>
                <w:sz w:val="21"/>
                <w:szCs w:val="21"/>
              </w:rPr>
              <w:t>社会工作</w:t>
            </w:r>
          </w:p>
        </w:tc>
      </w:tr>
      <w:tr>
        <w:tblPrEx>
          <w:tblLayout w:type="fixed"/>
          <w:tblCellMar>
            <w:top w:w="0" w:type="dxa"/>
            <w:left w:w="108" w:type="dxa"/>
            <w:bottom w:w="0" w:type="dxa"/>
            <w:right w:w="108" w:type="dxa"/>
          </w:tblCellMar>
        </w:tblPrEx>
        <w:trPr>
          <w:trHeight w:val="281" w:hRule="atLeast"/>
          <w:jc w:val="center"/>
        </w:trPr>
        <w:tc>
          <w:tcPr>
            <w:tcW w:w="1082" w:type="dxa"/>
            <w:tcBorders>
              <w:top w:val="single" w:color="auto" w:sz="4" w:space="0"/>
              <w:bottom w:val="single" w:color="auto" w:sz="4" w:space="0"/>
              <w:right w:val="single" w:color="auto" w:sz="4" w:space="0"/>
            </w:tcBorders>
            <w:vAlign w:val="center"/>
          </w:tcPr>
          <w:p>
            <w:pPr>
              <w:pStyle w:val="13"/>
              <w:widowControl/>
              <w:jc w:val="center"/>
              <w:rPr>
                <w:rFonts w:ascii="Times New Roman" w:eastAsia="宋体"/>
                <w:b/>
                <w:bCs/>
                <w:kern w:val="0"/>
                <w:sz w:val="21"/>
                <w:szCs w:val="21"/>
              </w:rPr>
            </w:pPr>
            <w:r>
              <w:rPr>
                <w:rFonts w:ascii="Times New Roman"/>
                <w:b/>
                <w:bCs/>
                <w:kern w:val="0"/>
                <w:sz w:val="21"/>
                <w:szCs w:val="21"/>
              </w:rPr>
              <w:t>R</w:t>
            </w: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eastAsia="宋体"/>
                <w:b/>
                <w:kern w:val="0"/>
                <w:sz w:val="21"/>
                <w:szCs w:val="21"/>
              </w:rPr>
            </w:pP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
                <w:bCs/>
                <w:kern w:val="0"/>
                <w:sz w:val="21"/>
                <w:szCs w:val="21"/>
              </w:rPr>
            </w:pPr>
            <w:r>
              <w:rPr>
                <w:rFonts w:hint="eastAsia" w:ascii="Times New Roman" w:eastAsia="宋体"/>
                <w:b/>
                <w:bCs/>
                <w:kern w:val="0"/>
                <w:sz w:val="21"/>
                <w:szCs w:val="21"/>
              </w:rPr>
              <w:t>文化、体育和娱乐业</w:t>
            </w:r>
          </w:p>
        </w:tc>
      </w:tr>
      <w:tr>
        <w:tblPrEx>
          <w:tblLayout w:type="fixed"/>
          <w:tblCellMar>
            <w:top w:w="0" w:type="dxa"/>
            <w:left w:w="108" w:type="dxa"/>
            <w:bottom w:w="0" w:type="dxa"/>
            <w:right w:w="108" w:type="dxa"/>
          </w:tblCellMar>
        </w:tblPrEx>
        <w:trPr>
          <w:trHeight w:val="281" w:hRule="atLeast"/>
          <w:jc w:val="center"/>
        </w:trPr>
        <w:tc>
          <w:tcPr>
            <w:tcW w:w="1082" w:type="dxa"/>
            <w:vMerge w:val="restart"/>
            <w:tcBorders>
              <w:top w:val="single" w:color="auto" w:sz="4" w:space="0"/>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86</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Cs/>
                <w:kern w:val="0"/>
                <w:sz w:val="21"/>
                <w:szCs w:val="21"/>
              </w:rPr>
            </w:pPr>
            <w:r>
              <w:rPr>
                <w:rFonts w:hint="eastAsia" w:ascii="Times New Roman" w:eastAsia="宋体"/>
                <w:bCs/>
                <w:kern w:val="0"/>
                <w:sz w:val="21"/>
                <w:szCs w:val="21"/>
              </w:rPr>
              <w:t>新闻出版业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3"/>
              <w:widowControl/>
              <w:jc w:val="center"/>
              <w:rPr>
                <w:rFonts w:ascii="Times New Roman" w:eastAsia="宋体"/>
                <w:bCs/>
                <w:kern w:val="0"/>
                <w:sz w:val="21"/>
                <w:szCs w:val="21"/>
              </w:rPr>
            </w:pPr>
          </w:p>
        </w:tc>
        <w:tc>
          <w:tcPr>
            <w:tcW w:w="1804" w:type="dxa"/>
            <w:tcBorders>
              <w:top w:val="single" w:color="auto" w:sz="4" w:space="0"/>
              <w:left w:val="nil"/>
              <w:bottom w:val="single" w:color="auto" w:sz="4" w:space="0"/>
              <w:right w:val="nil"/>
            </w:tcBorders>
            <w:vAlign w:val="center"/>
          </w:tcPr>
          <w:p>
            <w:pPr>
              <w:pStyle w:val="13"/>
              <w:widowControl/>
              <w:jc w:val="center"/>
              <w:rPr>
                <w:rFonts w:ascii="Times New Roman" w:eastAsia="宋体"/>
                <w:kern w:val="0"/>
                <w:sz w:val="21"/>
                <w:szCs w:val="21"/>
              </w:rPr>
            </w:pPr>
            <w:r>
              <w:rPr>
                <w:rFonts w:ascii="Times New Roman"/>
                <w:kern w:val="0"/>
                <w:sz w:val="21"/>
                <w:szCs w:val="21"/>
              </w:rPr>
              <w:t>87</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bCs/>
                <w:kern w:val="0"/>
                <w:sz w:val="21"/>
                <w:szCs w:val="21"/>
              </w:rPr>
            </w:pPr>
            <w:r>
              <w:rPr>
                <w:rFonts w:hint="eastAsia" w:ascii="Times New Roman" w:eastAsia="宋体"/>
                <w:bCs/>
                <w:kern w:val="0"/>
                <w:sz w:val="21"/>
                <w:szCs w:val="21"/>
              </w:rPr>
              <w:t>广播、电视、电影和影视录音制作业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3"/>
              <w:widowControl/>
              <w:jc w:val="center"/>
              <w:rPr>
                <w:rFonts w:ascii="Times New Roman"/>
                <w:b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88</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文化艺术业</w:t>
            </w:r>
          </w:p>
        </w:tc>
      </w:tr>
      <w:tr>
        <w:tblPrEx>
          <w:tblLayout w:type="fixed"/>
          <w:tblCellMar>
            <w:top w:w="0" w:type="dxa"/>
            <w:left w:w="108" w:type="dxa"/>
            <w:bottom w:w="0" w:type="dxa"/>
            <w:right w:w="108" w:type="dxa"/>
          </w:tblCellMar>
        </w:tblPrEx>
        <w:trPr>
          <w:trHeight w:val="281" w:hRule="atLeast"/>
          <w:jc w:val="center"/>
        </w:trPr>
        <w:tc>
          <w:tcPr>
            <w:tcW w:w="1082" w:type="dxa"/>
            <w:vMerge w:val="continue"/>
            <w:tcBorders>
              <w:right w:val="single" w:color="auto" w:sz="4" w:space="0"/>
            </w:tcBorders>
            <w:vAlign w:val="center"/>
          </w:tcPr>
          <w:p>
            <w:pPr>
              <w:pStyle w:val="13"/>
              <w:widowControl/>
              <w:jc w:val="center"/>
              <w:rPr>
                <w:rFonts w:ascii="Times New Roman"/>
                <w:b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89</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体育</w:t>
            </w:r>
          </w:p>
        </w:tc>
      </w:tr>
      <w:tr>
        <w:tblPrEx>
          <w:tblLayout w:type="fixed"/>
          <w:tblCellMar>
            <w:top w:w="0" w:type="dxa"/>
            <w:left w:w="108" w:type="dxa"/>
            <w:bottom w:w="0" w:type="dxa"/>
            <w:right w:w="108" w:type="dxa"/>
          </w:tblCellMar>
        </w:tblPrEx>
        <w:trPr>
          <w:trHeight w:val="297" w:hRule="atLeast"/>
          <w:jc w:val="center"/>
        </w:trPr>
        <w:tc>
          <w:tcPr>
            <w:tcW w:w="1082" w:type="dxa"/>
            <w:vMerge w:val="continue"/>
            <w:tcBorders>
              <w:bottom w:val="single" w:color="auto" w:sz="8" w:space="0"/>
              <w:right w:val="single" w:color="auto" w:sz="4" w:space="0"/>
            </w:tcBorders>
            <w:vAlign w:val="center"/>
          </w:tcPr>
          <w:p>
            <w:pPr>
              <w:pStyle w:val="13"/>
              <w:widowControl/>
              <w:jc w:val="center"/>
              <w:rPr>
                <w:rFonts w:ascii="Times New Roman"/>
                <w:bCs/>
                <w:i/>
                <w:iCs/>
                <w:kern w:val="0"/>
                <w:sz w:val="21"/>
                <w:szCs w:val="21"/>
              </w:rPr>
            </w:pPr>
          </w:p>
        </w:tc>
        <w:tc>
          <w:tcPr>
            <w:tcW w:w="1804" w:type="dxa"/>
            <w:tcBorders>
              <w:top w:val="single" w:color="auto" w:sz="4" w:space="0"/>
              <w:left w:val="single" w:color="auto" w:sz="4" w:space="0"/>
              <w:bottom w:val="single" w:color="auto" w:sz="4" w:space="0"/>
              <w:right w:val="nil"/>
            </w:tcBorders>
            <w:vAlign w:val="center"/>
          </w:tcPr>
          <w:p>
            <w:pPr>
              <w:pStyle w:val="13"/>
              <w:widowControl/>
              <w:jc w:val="center"/>
              <w:rPr>
                <w:rFonts w:ascii="Times New Roman"/>
                <w:kern w:val="0"/>
                <w:sz w:val="21"/>
                <w:szCs w:val="21"/>
              </w:rPr>
            </w:pPr>
            <w:r>
              <w:rPr>
                <w:rFonts w:ascii="Times New Roman"/>
                <w:kern w:val="0"/>
                <w:sz w:val="21"/>
                <w:szCs w:val="21"/>
              </w:rPr>
              <w:t>90</w:t>
            </w:r>
          </w:p>
        </w:tc>
        <w:tc>
          <w:tcPr>
            <w:tcW w:w="4572" w:type="dxa"/>
            <w:tcBorders>
              <w:top w:val="single" w:color="auto" w:sz="4" w:space="0"/>
              <w:left w:val="single" w:color="auto" w:sz="4" w:space="0"/>
              <w:bottom w:val="single" w:color="auto" w:sz="4" w:space="0"/>
            </w:tcBorders>
            <w:vAlign w:val="center"/>
          </w:tcPr>
          <w:p>
            <w:pPr>
              <w:pStyle w:val="13"/>
              <w:widowControl/>
              <w:rPr>
                <w:rFonts w:ascii="Times New Roman" w:eastAsia="宋体"/>
                <w:kern w:val="0"/>
                <w:sz w:val="21"/>
                <w:szCs w:val="21"/>
              </w:rPr>
            </w:pPr>
            <w:r>
              <w:rPr>
                <w:rFonts w:hint="eastAsia" w:ascii="Times New Roman" w:eastAsia="宋体"/>
                <w:kern w:val="0"/>
                <w:sz w:val="21"/>
                <w:szCs w:val="21"/>
              </w:rPr>
              <w:t>娱乐业</w:t>
            </w:r>
          </w:p>
        </w:tc>
      </w:tr>
    </w:tbl>
    <w:p/>
    <w:p>
      <w:pPr>
        <w:jc w:val="center"/>
        <w:rPr>
          <w:szCs w:val="32"/>
        </w:rPr>
      </w:pPr>
    </w:p>
    <w:p>
      <w:pPr>
        <w:pStyle w:val="2"/>
        <w:jc w:val="center"/>
        <w:rPr>
          <w:rFonts w:ascii="Times New Roman" w:hAnsi="Times New Roman" w:eastAsia="楷体_GB2312"/>
          <w:b w:val="0"/>
          <w:kern w:val="0"/>
          <w:sz w:val="32"/>
          <w:szCs w:val="32"/>
        </w:rPr>
      </w:pPr>
      <w:bookmarkStart w:id="2" w:name="_Toc466538822"/>
      <w:r>
        <w:rPr>
          <w:rFonts w:hint="eastAsia" w:ascii="Times New Roman" w:hAnsi="Times New Roman" w:eastAsia="楷体_GB2312"/>
          <w:b w:val="0"/>
          <w:kern w:val="0"/>
          <w:sz w:val="32"/>
          <w:szCs w:val="32"/>
        </w:rPr>
        <w:t>（二）企业规模</w:t>
      </w:r>
      <w:bookmarkEnd w:id="2"/>
    </w:p>
    <w:p>
      <w:pPr>
        <w:pStyle w:val="13"/>
        <w:adjustRightInd w:val="0"/>
        <w:spacing w:line="400" w:lineRule="exact"/>
        <w:ind w:firstLine="480" w:firstLineChars="200"/>
        <w:jc w:val="left"/>
        <w:rPr>
          <w:rFonts w:ascii="Times New Roman" w:eastAsia="宋体"/>
          <w:color w:val="000000"/>
        </w:rPr>
      </w:pPr>
      <w:r>
        <w:rPr>
          <w:rFonts w:hint="eastAsia" w:ascii="Times New Roman" w:eastAsia="宋体"/>
          <w:color w:val="000000"/>
        </w:rPr>
        <w:t>划分标准按照《</w:t>
      </w:r>
      <w:r>
        <w:rPr>
          <w:rFonts w:hint="eastAsia" w:ascii="宋体" w:hAnsi="宋体" w:eastAsia="宋体" w:cs="宋体"/>
          <w:color w:val="191919"/>
          <w:shd w:val="clear" w:color="auto" w:fill="FFFFFF"/>
        </w:rPr>
        <w:t>统计上大中小微企业划分标准（2017)》</w:t>
      </w:r>
      <w:r>
        <w:rPr>
          <w:rFonts w:hint="eastAsia" w:ascii="宋体" w:hAnsi="宋体" w:eastAsia="宋体" w:cs="宋体"/>
          <w:color w:val="000000"/>
        </w:rPr>
        <w:t>、</w:t>
      </w:r>
      <w:r>
        <w:rPr>
          <w:rFonts w:hint="eastAsia" w:ascii="Times New Roman" w:eastAsia="宋体"/>
          <w:color w:val="000000"/>
        </w:rPr>
        <w:t>《中国人民银行、中国银行业监督管理委员会、中国证券监督管理委员会、国家统计局关于印发</w:t>
      </w:r>
      <w:r>
        <w:rPr>
          <w:rFonts w:ascii="Times New Roman" w:eastAsia="宋体"/>
          <w:color w:val="000000"/>
        </w:rPr>
        <w:t>&lt;</w:t>
      </w:r>
      <w:r>
        <w:rPr>
          <w:rFonts w:hint="eastAsia" w:ascii="Times New Roman" w:eastAsia="宋体"/>
          <w:color w:val="000000"/>
        </w:rPr>
        <w:t>金融业企业划型标准规定</w:t>
      </w:r>
      <w:r>
        <w:rPr>
          <w:rFonts w:ascii="Times New Roman" w:eastAsia="宋体"/>
          <w:color w:val="000000"/>
        </w:rPr>
        <w:t>&gt;</w:t>
      </w:r>
      <w:r>
        <w:rPr>
          <w:rFonts w:hint="eastAsia" w:ascii="Times New Roman" w:eastAsia="宋体"/>
          <w:color w:val="000000"/>
        </w:rPr>
        <w:t>的通知》（银发〔</w:t>
      </w:r>
      <w:r>
        <w:rPr>
          <w:rFonts w:ascii="Times New Roman" w:eastAsia="宋体"/>
          <w:color w:val="000000"/>
        </w:rPr>
        <w:t>2015</w:t>
      </w:r>
      <w:r>
        <w:rPr>
          <w:rFonts w:hint="eastAsia" w:ascii="Times New Roman" w:eastAsia="宋体"/>
          <w:color w:val="000000"/>
        </w:rPr>
        <w:t>〕</w:t>
      </w:r>
      <w:r>
        <w:rPr>
          <w:rFonts w:ascii="Times New Roman" w:eastAsia="宋体"/>
          <w:color w:val="000000"/>
        </w:rPr>
        <w:t>309</w:t>
      </w:r>
      <w:r>
        <w:rPr>
          <w:rFonts w:hint="eastAsia" w:ascii="Times New Roman" w:eastAsia="宋体"/>
          <w:color w:val="000000"/>
        </w:rPr>
        <w:t>号）执行。</w:t>
      </w:r>
    </w:p>
    <w:p>
      <w:pPr>
        <w:pStyle w:val="13"/>
        <w:adjustRightInd w:val="0"/>
        <w:spacing w:line="400" w:lineRule="exact"/>
        <w:ind w:firstLine="420" w:firstLineChars="200"/>
        <w:jc w:val="left"/>
        <w:rPr>
          <w:rFonts w:ascii="Times New Roman" w:eastAsia="宋体"/>
          <w:color w:val="000000"/>
          <w:sz w:val="21"/>
          <w:szCs w:val="21"/>
        </w:rPr>
      </w:pPr>
    </w:p>
    <w:p>
      <w:pPr>
        <w:pStyle w:val="13"/>
        <w:adjustRightInd w:val="0"/>
        <w:snapToGrid w:val="0"/>
        <w:jc w:val="center"/>
        <w:rPr>
          <w:rFonts w:ascii="Times New Roman" w:eastAsia="宋体"/>
          <w:b/>
        </w:rPr>
      </w:pPr>
      <w:r>
        <w:rPr>
          <w:rFonts w:hint="eastAsia" w:ascii="Times New Roman" w:eastAsia="宋体"/>
          <w:b/>
        </w:rPr>
        <w:t>统计上大中小微企业划分标准（</w:t>
      </w:r>
      <w:r>
        <w:rPr>
          <w:rFonts w:ascii="Times New Roman" w:eastAsia="宋体"/>
          <w:b/>
        </w:rPr>
        <w:t>2017</w:t>
      </w:r>
      <w:r>
        <w:rPr>
          <w:rFonts w:hint="eastAsia" w:ascii="Times New Roman" w:eastAsia="宋体"/>
          <w:b/>
        </w:rPr>
        <w:t>）</w:t>
      </w:r>
    </w:p>
    <w:p>
      <w:pPr>
        <w:pStyle w:val="13"/>
        <w:adjustRightInd w:val="0"/>
        <w:snapToGrid w:val="0"/>
        <w:jc w:val="center"/>
        <w:rPr>
          <w:rFonts w:ascii="Times New Roman" w:eastAsia="宋体"/>
          <w:b/>
        </w:rPr>
      </w:pPr>
    </w:p>
    <w:tbl>
      <w:tblPr>
        <w:tblStyle w:val="7"/>
        <w:tblW w:w="8490" w:type="dxa"/>
        <w:jc w:val="center"/>
        <w:tblInd w:w="0" w:type="dxa"/>
        <w:tblLayout w:type="fixed"/>
        <w:tblCellMar>
          <w:top w:w="0" w:type="dxa"/>
          <w:left w:w="108" w:type="dxa"/>
          <w:bottom w:w="0" w:type="dxa"/>
          <w:right w:w="108" w:type="dxa"/>
        </w:tblCellMar>
      </w:tblPr>
      <w:tblGrid>
        <w:gridCol w:w="6"/>
        <w:gridCol w:w="1866"/>
        <w:gridCol w:w="1103"/>
        <w:gridCol w:w="1103"/>
        <w:gridCol w:w="1103"/>
        <w:gridCol w:w="1103"/>
        <w:gridCol w:w="1103"/>
        <w:gridCol w:w="1103"/>
      </w:tblGrid>
      <w:tr>
        <w:tblPrEx>
          <w:tblLayout w:type="fixed"/>
          <w:tblCellMar>
            <w:top w:w="0" w:type="dxa"/>
            <w:left w:w="108" w:type="dxa"/>
            <w:bottom w:w="0" w:type="dxa"/>
            <w:right w:w="108" w:type="dxa"/>
          </w:tblCellMar>
        </w:tblPrEx>
        <w:trPr>
          <w:trHeight w:val="317" w:hRule="atLeast"/>
          <w:tblHeader/>
          <w:jc w:val="center"/>
        </w:trPr>
        <w:tc>
          <w:tcPr>
            <w:tcW w:w="1872" w:type="dxa"/>
            <w:gridSpan w:val="2"/>
            <w:vMerge w:val="restart"/>
            <w:tcBorders>
              <w:top w:val="single" w:color="auto" w:sz="8" w:space="0"/>
              <w:bottom w:val="single" w:color="000000" w:sz="8" w:space="0"/>
              <w:right w:val="single" w:color="auto" w:sz="8" w:space="0"/>
            </w:tcBorders>
            <w:vAlign w:val="center"/>
          </w:tcPr>
          <w:p>
            <w:pPr>
              <w:pStyle w:val="13"/>
              <w:widowControl/>
              <w:jc w:val="center"/>
              <w:rPr>
                <w:rFonts w:ascii="黑体" w:hAnsi="黑体" w:eastAsia="黑体"/>
                <w:bCs/>
                <w:kern w:val="0"/>
                <w:sz w:val="18"/>
                <w:szCs w:val="18"/>
              </w:rPr>
            </w:pPr>
            <w:r>
              <w:rPr>
                <w:rFonts w:hint="eastAsia" w:ascii="黑体" w:hAnsi="黑体" w:eastAsia="黑体"/>
                <w:bCs/>
                <w:kern w:val="0"/>
                <w:sz w:val="18"/>
                <w:szCs w:val="18"/>
              </w:rPr>
              <w:t>行业名称</w:t>
            </w:r>
          </w:p>
        </w:tc>
        <w:tc>
          <w:tcPr>
            <w:tcW w:w="1103" w:type="dxa"/>
            <w:vMerge w:val="restart"/>
            <w:tcBorders>
              <w:top w:val="single" w:color="auto" w:sz="8" w:space="0"/>
              <w:left w:val="single" w:color="auto" w:sz="8" w:space="0"/>
              <w:bottom w:val="single" w:color="000000" w:sz="8" w:space="0"/>
              <w:right w:val="single" w:color="auto" w:sz="8" w:space="0"/>
            </w:tcBorders>
            <w:vAlign w:val="center"/>
          </w:tcPr>
          <w:p>
            <w:pPr>
              <w:pStyle w:val="13"/>
              <w:widowControl/>
              <w:jc w:val="center"/>
              <w:rPr>
                <w:rFonts w:ascii="黑体" w:hAnsi="黑体" w:eastAsia="黑体"/>
                <w:bCs/>
                <w:kern w:val="0"/>
                <w:sz w:val="18"/>
                <w:szCs w:val="18"/>
              </w:rPr>
            </w:pPr>
            <w:r>
              <w:rPr>
                <w:rFonts w:hint="eastAsia" w:ascii="黑体" w:hAnsi="黑体" w:eastAsia="黑体"/>
                <w:bCs/>
                <w:kern w:val="0"/>
                <w:sz w:val="18"/>
                <w:szCs w:val="18"/>
              </w:rPr>
              <w:t>指标名称</w:t>
            </w:r>
          </w:p>
        </w:tc>
        <w:tc>
          <w:tcPr>
            <w:tcW w:w="1103" w:type="dxa"/>
            <w:tcBorders>
              <w:top w:val="single" w:color="auto" w:sz="8" w:space="0"/>
              <w:left w:val="nil"/>
              <w:bottom w:val="nil"/>
              <w:right w:val="single" w:color="auto" w:sz="8" w:space="0"/>
            </w:tcBorders>
            <w:vAlign w:val="center"/>
          </w:tcPr>
          <w:p>
            <w:pPr>
              <w:pStyle w:val="13"/>
              <w:widowControl/>
              <w:jc w:val="center"/>
              <w:rPr>
                <w:rFonts w:ascii="黑体" w:hAnsi="黑体" w:eastAsia="黑体"/>
                <w:bCs/>
                <w:kern w:val="0"/>
                <w:sz w:val="18"/>
                <w:szCs w:val="18"/>
              </w:rPr>
            </w:pPr>
            <w:r>
              <w:rPr>
                <w:rFonts w:hint="eastAsia" w:ascii="黑体" w:hAnsi="黑体" w:eastAsia="黑体"/>
                <w:bCs/>
                <w:kern w:val="0"/>
                <w:sz w:val="18"/>
                <w:szCs w:val="18"/>
              </w:rPr>
              <w:t>计量</w:t>
            </w:r>
          </w:p>
        </w:tc>
        <w:tc>
          <w:tcPr>
            <w:tcW w:w="1103" w:type="dxa"/>
            <w:vMerge w:val="restart"/>
            <w:tcBorders>
              <w:top w:val="single" w:color="auto" w:sz="8" w:space="0"/>
              <w:left w:val="single" w:color="auto" w:sz="8" w:space="0"/>
              <w:bottom w:val="single" w:color="000000" w:sz="8" w:space="0"/>
              <w:right w:val="single" w:color="auto" w:sz="8" w:space="0"/>
            </w:tcBorders>
            <w:vAlign w:val="center"/>
          </w:tcPr>
          <w:p>
            <w:pPr>
              <w:pStyle w:val="13"/>
              <w:widowControl/>
              <w:jc w:val="center"/>
              <w:rPr>
                <w:rFonts w:ascii="黑体" w:hAnsi="黑体" w:eastAsia="黑体"/>
                <w:bCs/>
                <w:kern w:val="0"/>
                <w:sz w:val="18"/>
                <w:szCs w:val="18"/>
              </w:rPr>
            </w:pPr>
            <w:r>
              <w:rPr>
                <w:rFonts w:hint="eastAsia" w:ascii="黑体" w:hAnsi="黑体" w:eastAsia="黑体"/>
                <w:bCs/>
                <w:kern w:val="0"/>
                <w:sz w:val="18"/>
                <w:szCs w:val="18"/>
              </w:rPr>
              <w:t>大型</w:t>
            </w:r>
          </w:p>
        </w:tc>
        <w:tc>
          <w:tcPr>
            <w:tcW w:w="1103" w:type="dxa"/>
            <w:vMerge w:val="restart"/>
            <w:tcBorders>
              <w:top w:val="single" w:color="auto" w:sz="8" w:space="0"/>
              <w:left w:val="single" w:color="auto" w:sz="8" w:space="0"/>
              <w:bottom w:val="single" w:color="000000" w:sz="8" w:space="0"/>
              <w:right w:val="single" w:color="auto" w:sz="8" w:space="0"/>
            </w:tcBorders>
            <w:vAlign w:val="center"/>
          </w:tcPr>
          <w:p>
            <w:pPr>
              <w:pStyle w:val="13"/>
              <w:widowControl/>
              <w:jc w:val="center"/>
              <w:rPr>
                <w:rFonts w:ascii="黑体" w:hAnsi="黑体" w:eastAsia="黑体"/>
                <w:bCs/>
                <w:kern w:val="0"/>
                <w:sz w:val="18"/>
                <w:szCs w:val="18"/>
              </w:rPr>
            </w:pPr>
            <w:r>
              <w:rPr>
                <w:rFonts w:hint="eastAsia" w:ascii="黑体" w:hAnsi="黑体" w:eastAsia="黑体"/>
                <w:bCs/>
                <w:kern w:val="0"/>
                <w:sz w:val="18"/>
                <w:szCs w:val="18"/>
              </w:rPr>
              <w:t>中型</w:t>
            </w:r>
          </w:p>
        </w:tc>
        <w:tc>
          <w:tcPr>
            <w:tcW w:w="1103" w:type="dxa"/>
            <w:vMerge w:val="restart"/>
            <w:tcBorders>
              <w:top w:val="single" w:color="auto" w:sz="8" w:space="0"/>
              <w:left w:val="single" w:color="auto" w:sz="8" w:space="0"/>
              <w:bottom w:val="single" w:color="000000" w:sz="8" w:space="0"/>
              <w:right w:val="single" w:color="auto" w:sz="8" w:space="0"/>
            </w:tcBorders>
            <w:vAlign w:val="center"/>
          </w:tcPr>
          <w:p>
            <w:pPr>
              <w:pStyle w:val="13"/>
              <w:widowControl/>
              <w:jc w:val="center"/>
              <w:rPr>
                <w:rFonts w:ascii="黑体" w:hAnsi="黑体" w:eastAsia="黑体"/>
                <w:bCs/>
                <w:kern w:val="0"/>
                <w:sz w:val="18"/>
                <w:szCs w:val="18"/>
              </w:rPr>
            </w:pPr>
            <w:r>
              <w:rPr>
                <w:rFonts w:hint="eastAsia" w:ascii="黑体" w:hAnsi="黑体" w:eastAsia="黑体"/>
                <w:bCs/>
                <w:kern w:val="0"/>
                <w:sz w:val="18"/>
                <w:szCs w:val="18"/>
              </w:rPr>
              <w:t>小型</w:t>
            </w:r>
          </w:p>
        </w:tc>
        <w:tc>
          <w:tcPr>
            <w:tcW w:w="1103" w:type="dxa"/>
            <w:vMerge w:val="restart"/>
            <w:tcBorders>
              <w:top w:val="single" w:color="auto" w:sz="8" w:space="0"/>
              <w:left w:val="single" w:color="auto" w:sz="8" w:space="0"/>
              <w:bottom w:val="single" w:color="000000" w:sz="8" w:space="0"/>
              <w:right w:val="nil"/>
            </w:tcBorders>
            <w:vAlign w:val="center"/>
          </w:tcPr>
          <w:p>
            <w:pPr>
              <w:pStyle w:val="13"/>
              <w:widowControl/>
              <w:jc w:val="center"/>
              <w:rPr>
                <w:rFonts w:ascii="黑体" w:hAnsi="黑体" w:eastAsia="黑体"/>
                <w:bCs/>
                <w:kern w:val="0"/>
                <w:sz w:val="18"/>
                <w:szCs w:val="18"/>
              </w:rPr>
            </w:pPr>
            <w:r>
              <w:rPr>
                <w:rFonts w:hint="eastAsia" w:ascii="黑体" w:hAnsi="黑体" w:eastAsia="黑体"/>
                <w:bCs/>
                <w:kern w:val="0"/>
                <w:sz w:val="18"/>
                <w:szCs w:val="18"/>
              </w:rPr>
              <w:t>微型</w:t>
            </w:r>
          </w:p>
        </w:tc>
      </w:tr>
      <w:tr>
        <w:tblPrEx>
          <w:tblLayout w:type="fixed"/>
          <w:tblCellMar>
            <w:top w:w="0" w:type="dxa"/>
            <w:left w:w="108" w:type="dxa"/>
            <w:bottom w:w="0" w:type="dxa"/>
            <w:right w:w="108" w:type="dxa"/>
          </w:tblCellMar>
        </w:tblPrEx>
        <w:trPr>
          <w:trHeight w:val="334" w:hRule="atLeast"/>
          <w:tblHeader/>
          <w:jc w:val="center"/>
        </w:trPr>
        <w:tc>
          <w:tcPr>
            <w:tcW w:w="1872" w:type="dxa"/>
            <w:gridSpan w:val="2"/>
            <w:vMerge w:val="continue"/>
            <w:tcBorders>
              <w:top w:val="single" w:color="auto" w:sz="8" w:space="0"/>
              <w:bottom w:val="single" w:color="000000" w:sz="8" w:space="0"/>
              <w:right w:val="single" w:color="auto" w:sz="8" w:space="0"/>
            </w:tcBorders>
            <w:vAlign w:val="center"/>
          </w:tcPr>
          <w:p>
            <w:pPr>
              <w:pStyle w:val="13"/>
              <w:widowControl/>
              <w:jc w:val="left"/>
              <w:rPr>
                <w:rFonts w:ascii="黑体" w:hAnsi="黑体" w:eastAsia="黑体"/>
                <w:bCs/>
                <w:kern w:val="0"/>
                <w:sz w:val="18"/>
                <w:szCs w:val="18"/>
              </w:rPr>
            </w:pPr>
          </w:p>
        </w:tc>
        <w:tc>
          <w:tcPr>
            <w:tcW w:w="1103" w:type="dxa"/>
            <w:vMerge w:val="continue"/>
            <w:tcBorders>
              <w:top w:val="single" w:color="auto" w:sz="8" w:space="0"/>
              <w:left w:val="single" w:color="auto" w:sz="8" w:space="0"/>
              <w:bottom w:val="single" w:color="000000" w:sz="8" w:space="0"/>
              <w:right w:val="single" w:color="auto" w:sz="8" w:space="0"/>
            </w:tcBorders>
            <w:vAlign w:val="center"/>
          </w:tcPr>
          <w:p>
            <w:pPr>
              <w:pStyle w:val="13"/>
              <w:widowControl/>
              <w:jc w:val="left"/>
              <w:rPr>
                <w:rFonts w:ascii="黑体" w:hAnsi="黑体" w:eastAsia="黑体"/>
                <w:bCs/>
                <w:kern w:val="0"/>
                <w:sz w:val="18"/>
                <w:szCs w:val="18"/>
              </w:rPr>
            </w:pPr>
          </w:p>
        </w:tc>
        <w:tc>
          <w:tcPr>
            <w:tcW w:w="1103" w:type="dxa"/>
            <w:tcBorders>
              <w:top w:val="nil"/>
              <w:left w:val="nil"/>
              <w:bottom w:val="single" w:color="auto" w:sz="8" w:space="0"/>
              <w:right w:val="single" w:color="auto" w:sz="8" w:space="0"/>
            </w:tcBorders>
            <w:vAlign w:val="bottom"/>
          </w:tcPr>
          <w:p>
            <w:pPr>
              <w:pStyle w:val="13"/>
              <w:widowControl/>
              <w:jc w:val="center"/>
              <w:rPr>
                <w:rFonts w:ascii="黑体" w:hAnsi="黑体" w:eastAsia="黑体"/>
                <w:bCs/>
                <w:kern w:val="0"/>
                <w:sz w:val="18"/>
                <w:szCs w:val="18"/>
              </w:rPr>
            </w:pPr>
            <w:r>
              <w:rPr>
                <w:rFonts w:hint="eastAsia" w:ascii="黑体" w:hAnsi="黑体" w:eastAsia="黑体"/>
                <w:bCs/>
                <w:kern w:val="0"/>
                <w:sz w:val="18"/>
                <w:szCs w:val="18"/>
              </w:rPr>
              <w:t>单位</w:t>
            </w:r>
          </w:p>
        </w:tc>
        <w:tc>
          <w:tcPr>
            <w:tcW w:w="1103" w:type="dxa"/>
            <w:vMerge w:val="continue"/>
            <w:tcBorders>
              <w:top w:val="single" w:color="auto" w:sz="8" w:space="0"/>
              <w:left w:val="single" w:color="auto" w:sz="8" w:space="0"/>
              <w:bottom w:val="single" w:color="000000" w:sz="8" w:space="0"/>
              <w:right w:val="single" w:color="auto" w:sz="8" w:space="0"/>
            </w:tcBorders>
            <w:vAlign w:val="center"/>
          </w:tcPr>
          <w:p>
            <w:pPr>
              <w:pStyle w:val="13"/>
              <w:widowControl/>
              <w:jc w:val="left"/>
              <w:rPr>
                <w:rFonts w:ascii="黑体" w:hAnsi="黑体" w:eastAsia="黑体"/>
                <w:bCs/>
                <w:kern w:val="0"/>
                <w:sz w:val="18"/>
                <w:szCs w:val="18"/>
              </w:rPr>
            </w:pPr>
          </w:p>
        </w:tc>
        <w:tc>
          <w:tcPr>
            <w:tcW w:w="1103" w:type="dxa"/>
            <w:vMerge w:val="continue"/>
            <w:tcBorders>
              <w:top w:val="single" w:color="auto" w:sz="8" w:space="0"/>
              <w:left w:val="single" w:color="auto" w:sz="8" w:space="0"/>
              <w:bottom w:val="single" w:color="000000" w:sz="8" w:space="0"/>
              <w:right w:val="single" w:color="auto" w:sz="8" w:space="0"/>
            </w:tcBorders>
            <w:vAlign w:val="center"/>
          </w:tcPr>
          <w:p>
            <w:pPr>
              <w:pStyle w:val="13"/>
              <w:widowControl/>
              <w:jc w:val="left"/>
              <w:rPr>
                <w:rFonts w:ascii="黑体" w:hAnsi="黑体" w:eastAsia="黑体"/>
                <w:bCs/>
                <w:kern w:val="0"/>
                <w:sz w:val="18"/>
                <w:szCs w:val="18"/>
              </w:rPr>
            </w:pPr>
          </w:p>
        </w:tc>
        <w:tc>
          <w:tcPr>
            <w:tcW w:w="1103" w:type="dxa"/>
            <w:vMerge w:val="continue"/>
            <w:tcBorders>
              <w:top w:val="single" w:color="auto" w:sz="8" w:space="0"/>
              <w:left w:val="single" w:color="auto" w:sz="8" w:space="0"/>
              <w:bottom w:val="single" w:color="000000" w:sz="8" w:space="0"/>
              <w:right w:val="single" w:color="auto" w:sz="8" w:space="0"/>
            </w:tcBorders>
            <w:vAlign w:val="center"/>
          </w:tcPr>
          <w:p>
            <w:pPr>
              <w:pStyle w:val="13"/>
              <w:widowControl/>
              <w:jc w:val="left"/>
              <w:rPr>
                <w:rFonts w:ascii="黑体" w:hAnsi="黑体" w:eastAsia="黑体"/>
                <w:bCs/>
                <w:kern w:val="0"/>
                <w:sz w:val="18"/>
                <w:szCs w:val="18"/>
              </w:rPr>
            </w:pPr>
          </w:p>
        </w:tc>
        <w:tc>
          <w:tcPr>
            <w:tcW w:w="1103" w:type="dxa"/>
            <w:vMerge w:val="continue"/>
            <w:tcBorders>
              <w:top w:val="single" w:color="auto" w:sz="8" w:space="0"/>
              <w:left w:val="single" w:color="auto" w:sz="8" w:space="0"/>
              <w:bottom w:val="single" w:color="000000" w:sz="8" w:space="0"/>
              <w:right w:val="nil"/>
            </w:tcBorders>
            <w:vAlign w:val="center"/>
          </w:tcPr>
          <w:p>
            <w:pPr>
              <w:pStyle w:val="13"/>
              <w:widowControl/>
              <w:jc w:val="left"/>
              <w:rPr>
                <w:rFonts w:ascii="黑体" w:hAnsi="黑体" w:eastAsia="黑体"/>
                <w:bCs/>
                <w:kern w:val="0"/>
                <w:sz w:val="18"/>
                <w:szCs w:val="18"/>
              </w:rPr>
            </w:pPr>
          </w:p>
        </w:tc>
      </w:tr>
      <w:tr>
        <w:tblPrEx>
          <w:tblLayout w:type="fixed"/>
          <w:tblCellMar>
            <w:top w:w="0" w:type="dxa"/>
            <w:left w:w="108" w:type="dxa"/>
            <w:bottom w:w="0" w:type="dxa"/>
            <w:right w:w="108" w:type="dxa"/>
          </w:tblCellMar>
        </w:tblPrEx>
        <w:trPr>
          <w:trHeight w:val="501" w:hRule="atLeast"/>
          <w:jc w:val="center"/>
        </w:trPr>
        <w:tc>
          <w:tcPr>
            <w:tcW w:w="1872" w:type="dxa"/>
            <w:gridSpan w:val="2"/>
            <w:tcBorders>
              <w:top w:val="nil"/>
              <w:bottom w:val="single" w:color="auto" w:sz="4"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农林牧渔业</w:t>
            </w:r>
          </w:p>
        </w:tc>
        <w:tc>
          <w:tcPr>
            <w:tcW w:w="1103" w:type="dxa"/>
            <w:tcBorders>
              <w:top w:val="nil"/>
              <w:left w:val="nil"/>
              <w:bottom w:val="single" w:color="auto" w:sz="4"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营业收入（</w:t>
            </w:r>
            <w:r>
              <w:rPr>
                <w:rFonts w:ascii="Times New Roman" w:eastAsia="宋体"/>
                <w:kern w:val="0"/>
                <w:sz w:val="18"/>
                <w:szCs w:val="18"/>
              </w:rPr>
              <w:t>Y</w:t>
            </w:r>
            <w:r>
              <w:rPr>
                <w:rFonts w:hint="eastAsia" w:ascii="Times New Roman" w:eastAsia="宋体"/>
                <w:kern w:val="0"/>
                <w:sz w:val="18"/>
                <w:szCs w:val="18"/>
              </w:rPr>
              <w:t>）</w:t>
            </w:r>
          </w:p>
        </w:tc>
        <w:tc>
          <w:tcPr>
            <w:tcW w:w="1103" w:type="dxa"/>
            <w:tcBorders>
              <w:top w:val="nil"/>
              <w:left w:val="nil"/>
              <w:bottom w:val="single" w:color="auto" w:sz="4"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single" w:color="auto" w:sz="4"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宋体" w:hAnsi="宋体" w:eastAsia="宋体" w:cs="宋体"/>
                <w:kern w:val="0"/>
                <w:sz w:val="18"/>
                <w:szCs w:val="18"/>
              </w:rPr>
              <w:t>≧</w:t>
            </w:r>
            <w:r>
              <w:rPr>
                <w:rFonts w:ascii="Times New Roman" w:eastAsia="宋体"/>
                <w:kern w:val="0"/>
                <w:sz w:val="18"/>
                <w:szCs w:val="18"/>
              </w:rPr>
              <w:t>20000</w:t>
            </w:r>
          </w:p>
        </w:tc>
        <w:tc>
          <w:tcPr>
            <w:tcW w:w="1103" w:type="dxa"/>
            <w:tcBorders>
              <w:top w:val="nil"/>
              <w:left w:val="nil"/>
              <w:bottom w:val="single" w:color="auto" w:sz="4"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500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20000</w:t>
            </w:r>
          </w:p>
        </w:tc>
        <w:tc>
          <w:tcPr>
            <w:tcW w:w="1103" w:type="dxa"/>
            <w:tcBorders>
              <w:top w:val="nil"/>
              <w:left w:val="nil"/>
              <w:bottom w:val="single" w:color="auto" w:sz="4"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50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500</w:t>
            </w:r>
          </w:p>
        </w:tc>
        <w:tc>
          <w:tcPr>
            <w:tcW w:w="1103" w:type="dxa"/>
            <w:tcBorders>
              <w:top w:val="nil"/>
              <w:left w:val="nil"/>
              <w:bottom w:val="single" w:color="auto" w:sz="4"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50</w:t>
            </w:r>
          </w:p>
        </w:tc>
      </w:tr>
      <w:tr>
        <w:tblPrEx>
          <w:tblLayout w:type="fixed"/>
          <w:tblCellMar>
            <w:top w:w="0" w:type="dxa"/>
            <w:left w:w="108" w:type="dxa"/>
            <w:bottom w:w="0" w:type="dxa"/>
            <w:right w:w="108" w:type="dxa"/>
          </w:tblCellMar>
        </w:tblPrEx>
        <w:trPr>
          <w:trHeight w:val="501" w:hRule="atLeast"/>
          <w:jc w:val="center"/>
        </w:trPr>
        <w:tc>
          <w:tcPr>
            <w:tcW w:w="1872" w:type="dxa"/>
            <w:gridSpan w:val="2"/>
            <w:vMerge w:val="restart"/>
            <w:tcBorders>
              <w:top w:val="single" w:color="auto" w:sz="4" w:space="0"/>
              <w:bottom w:val="single" w:color="000000"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工业（包括采矿业，制造业，电力、热力、燃气及水生产和供应业）</w:t>
            </w:r>
          </w:p>
        </w:tc>
        <w:tc>
          <w:tcPr>
            <w:tcW w:w="1103" w:type="dxa"/>
            <w:tcBorders>
              <w:top w:val="single" w:color="auto" w:sz="4"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从业人员</w:t>
            </w:r>
            <w:r>
              <w:rPr>
                <w:rFonts w:ascii="Times New Roman" w:eastAsia="宋体"/>
                <w:kern w:val="0"/>
                <w:sz w:val="18"/>
                <w:szCs w:val="18"/>
              </w:rPr>
              <w:t>(X)</w:t>
            </w:r>
          </w:p>
        </w:tc>
        <w:tc>
          <w:tcPr>
            <w:tcW w:w="1103" w:type="dxa"/>
            <w:tcBorders>
              <w:top w:val="single" w:color="auto" w:sz="4"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人</w:t>
            </w:r>
          </w:p>
        </w:tc>
        <w:tc>
          <w:tcPr>
            <w:tcW w:w="1103" w:type="dxa"/>
            <w:tcBorders>
              <w:top w:val="single" w:color="auto" w:sz="4"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宋体" w:hAnsi="宋体" w:eastAsia="宋体" w:cs="宋体"/>
                <w:kern w:val="0"/>
                <w:sz w:val="18"/>
                <w:szCs w:val="18"/>
              </w:rPr>
              <w:t>≧</w:t>
            </w:r>
            <w:r>
              <w:rPr>
                <w:rFonts w:ascii="Times New Roman" w:eastAsia="宋体"/>
                <w:kern w:val="0"/>
                <w:sz w:val="18"/>
                <w:szCs w:val="18"/>
              </w:rPr>
              <w:t>1000</w:t>
            </w:r>
          </w:p>
        </w:tc>
        <w:tc>
          <w:tcPr>
            <w:tcW w:w="1103" w:type="dxa"/>
            <w:tcBorders>
              <w:top w:val="single" w:color="auto" w:sz="4"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300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1000</w:t>
            </w:r>
          </w:p>
        </w:tc>
        <w:tc>
          <w:tcPr>
            <w:tcW w:w="1103" w:type="dxa"/>
            <w:tcBorders>
              <w:top w:val="single" w:color="auto" w:sz="4"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20=X</w:t>
            </w:r>
            <w:r>
              <w:rPr>
                <w:rFonts w:hint="eastAsia" w:ascii="Times New Roman" w:eastAsia="宋体"/>
                <w:kern w:val="0"/>
                <w:sz w:val="18"/>
                <w:szCs w:val="18"/>
              </w:rPr>
              <w:t>＜</w:t>
            </w:r>
            <w:r>
              <w:rPr>
                <w:rFonts w:ascii="Times New Roman" w:eastAsia="宋体"/>
                <w:kern w:val="0"/>
                <w:sz w:val="18"/>
                <w:szCs w:val="18"/>
              </w:rPr>
              <w:t>300</w:t>
            </w:r>
          </w:p>
        </w:tc>
        <w:tc>
          <w:tcPr>
            <w:tcW w:w="1103" w:type="dxa"/>
            <w:tcBorders>
              <w:top w:val="single" w:color="auto" w:sz="4" w:space="0"/>
              <w:left w:val="nil"/>
              <w:bottom w:val="nil"/>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20</w:t>
            </w:r>
          </w:p>
        </w:tc>
      </w:tr>
      <w:tr>
        <w:tblPrEx>
          <w:tblLayout w:type="fixed"/>
          <w:tblCellMar>
            <w:top w:w="0" w:type="dxa"/>
            <w:left w:w="108" w:type="dxa"/>
            <w:bottom w:w="0" w:type="dxa"/>
            <w:right w:w="108" w:type="dxa"/>
          </w:tblCellMar>
        </w:tblPrEx>
        <w:trPr>
          <w:trHeight w:val="517" w:hRule="atLeast"/>
          <w:jc w:val="center"/>
        </w:trPr>
        <w:tc>
          <w:tcPr>
            <w:tcW w:w="1872" w:type="dxa"/>
            <w:gridSpan w:val="2"/>
            <w:vMerge w:val="continue"/>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营业收入</w:t>
            </w:r>
            <w:r>
              <w:rPr>
                <w:rFonts w:ascii="Times New Roman" w:eastAsia="宋体"/>
                <w:kern w:val="0"/>
                <w:sz w:val="18"/>
                <w:szCs w:val="18"/>
              </w:rPr>
              <w:t>(Y)</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宋体" w:hAnsi="宋体" w:eastAsia="宋体" w:cs="宋体"/>
                <w:kern w:val="0"/>
                <w:sz w:val="18"/>
                <w:szCs w:val="18"/>
              </w:rPr>
              <w:t>≧</w:t>
            </w:r>
            <w:r>
              <w:rPr>
                <w:rFonts w:ascii="Times New Roman" w:eastAsia="宋体"/>
                <w:kern w:val="0"/>
                <w:sz w:val="18"/>
                <w:szCs w:val="18"/>
              </w:rPr>
              <w:t>40000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2000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40000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300=Y</w:t>
            </w:r>
            <w:r>
              <w:rPr>
                <w:rFonts w:hint="eastAsia" w:ascii="Times New Roman" w:eastAsia="宋体"/>
                <w:kern w:val="0"/>
                <w:sz w:val="18"/>
                <w:szCs w:val="18"/>
              </w:rPr>
              <w:t>＜</w:t>
            </w:r>
            <w:r>
              <w:rPr>
                <w:rFonts w:ascii="Times New Roman" w:eastAsia="宋体"/>
                <w:kern w:val="0"/>
                <w:sz w:val="18"/>
                <w:szCs w:val="18"/>
              </w:rPr>
              <w:t>2000</w:t>
            </w:r>
          </w:p>
        </w:tc>
        <w:tc>
          <w:tcPr>
            <w:tcW w:w="1103" w:type="dxa"/>
            <w:tcBorders>
              <w:top w:val="nil"/>
              <w:left w:val="nil"/>
              <w:bottom w:val="single" w:color="auto" w:sz="8"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300</w:t>
            </w:r>
          </w:p>
        </w:tc>
      </w:tr>
      <w:tr>
        <w:tblPrEx>
          <w:tblLayout w:type="fixed"/>
          <w:tblCellMar>
            <w:top w:w="0" w:type="dxa"/>
            <w:left w:w="108" w:type="dxa"/>
            <w:bottom w:w="0" w:type="dxa"/>
            <w:right w:w="108" w:type="dxa"/>
          </w:tblCellMar>
        </w:tblPrEx>
        <w:trPr>
          <w:trHeight w:val="501" w:hRule="atLeast"/>
          <w:jc w:val="center"/>
        </w:trPr>
        <w:tc>
          <w:tcPr>
            <w:tcW w:w="1872" w:type="dxa"/>
            <w:gridSpan w:val="2"/>
            <w:vMerge w:val="restart"/>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建筑业</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营业收入</w:t>
            </w:r>
            <w:r>
              <w:rPr>
                <w:rFonts w:ascii="Times New Roman" w:eastAsia="宋体"/>
                <w:kern w:val="0"/>
                <w:sz w:val="18"/>
                <w:szCs w:val="18"/>
              </w:rPr>
              <w:t>(Y)</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宋体" w:hAnsi="宋体" w:eastAsia="宋体" w:cs="宋体"/>
                <w:kern w:val="0"/>
                <w:sz w:val="18"/>
                <w:szCs w:val="18"/>
              </w:rPr>
              <w:t>≧</w:t>
            </w:r>
            <w:r>
              <w:rPr>
                <w:rFonts w:ascii="Times New Roman" w:eastAsia="宋体"/>
                <w:kern w:val="0"/>
                <w:sz w:val="18"/>
                <w:szCs w:val="18"/>
              </w:rPr>
              <w:t>80000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6000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80000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300=Y</w:t>
            </w:r>
            <w:r>
              <w:rPr>
                <w:rFonts w:hint="eastAsia" w:ascii="Times New Roman" w:eastAsia="宋体"/>
                <w:kern w:val="0"/>
                <w:sz w:val="18"/>
                <w:szCs w:val="18"/>
              </w:rPr>
              <w:t>＜</w:t>
            </w:r>
            <w:r>
              <w:rPr>
                <w:rFonts w:ascii="Times New Roman" w:eastAsia="宋体"/>
                <w:kern w:val="0"/>
                <w:sz w:val="18"/>
                <w:szCs w:val="18"/>
              </w:rPr>
              <w:t>6000</w:t>
            </w:r>
          </w:p>
        </w:tc>
        <w:tc>
          <w:tcPr>
            <w:tcW w:w="1103" w:type="dxa"/>
            <w:tcBorders>
              <w:top w:val="nil"/>
              <w:left w:val="nil"/>
              <w:bottom w:val="nil"/>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300</w:t>
            </w:r>
          </w:p>
        </w:tc>
      </w:tr>
      <w:tr>
        <w:tblPrEx>
          <w:tblLayout w:type="fixed"/>
          <w:tblCellMar>
            <w:top w:w="0" w:type="dxa"/>
            <w:left w:w="108" w:type="dxa"/>
            <w:bottom w:w="0" w:type="dxa"/>
            <w:right w:w="108" w:type="dxa"/>
          </w:tblCellMar>
        </w:tblPrEx>
        <w:trPr>
          <w:trHeight w:val="517" w:hRule="atLeast"/>
          <w:jc w:val="center"/>
        </w:trPr>
        <w:tc>
          <w:tcPr>
            <w:tcW w:w="1872" w:type="dxa"/>
            <w:gridSpan w:val="2"/>
            <w:vMerge w:val="continue"/>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资产总额</w:t>
            </w:r>
            <w:r>
              <w:rPr>
                <w:rFonts w:ascii="Times New Roman" w:eastAsia="宋体"/>
                <w:kern w:val="0"/>
                <w:sz w:val="18"/>
                <w:szCs w:val="18"/>
              </w:rPr>
              <w:t>(Z)</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Z</w:t>
            </w:r>
            <w:r>
              <w:rPr>
                <w:rFonts w:hint="eastAsia" w:ascii="宋体" w:hAnsi="宋体" w:eastAsia="宋体" w:cs="宋体"/>
                <w:kern w:val="0"/>
                <w:sz w:val="18"/>
                <w:szCs w:val="18"/>
              </w:rPr>
              <w:t>≧</w:t>
            </w:r>
            <w:r>
              <w:rPr>
                <w:rFonts w:ascii="Times New Roman" w:eastAsia="宋体"/>
                <w:kern w:val="0"/>
                <w:sz w:val="18"/>
                <w:szCs w:val="18"/>
              </w:rPr>
              <w:t>80000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5000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80000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300=Z</w:t>
            </w:r>
            <w:r>
              <w:rPr>
                <w:rFonts w:hint="eastAsia" w:ascii="Times New Roman" w:eastAsia="宋体"/>
                <w:kern w:val="0"/>
                <w:sz w:val="18"/>
                <w:szCs w:val="18"/>
              </w:rPr>
              <w:t>＜</w:t>
            </w:r>
            <w:r>
              <w:rPr>
                <w:rFonts w:ascii="Times New Roman" w:eastAsia="宋体"/>
                <w:kern w:val="0"/>
                <w:sz w:val="18"/>
                <w:szCs w:val="18"/>
              </w:rPr>
              <w:t>5000</w:t>
            </w:r>
          </w:p>
        </w:tc>
        <w:tc>
          <w:tcPr>
            <w:tcW w:w="1103" w:type="dxa"/>
            <w:tcBorders>
              <w:top w:val="nil"/>
              <w:left w:val="nil"/>
              <w:bottom w:val="single" w:color="auto" w:sz="8"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Z</w:t>
            </w:r>
            <w:r>
              <w:rPr>
                <w:rFonts w:hint="eastAsia" w:ascii="Times New Roman" w:eastAsia="宋体"/>
                <w:kern w:val="0"/>
                <w:sz w:val="18"/>
                <w:szCs w:val="18"/>
              </w:rPr>
              <w:t>＜</w:t>
            </w:r>
            <w:r>
              <w:rPr>
                <w:rFonts w:ascii="Times New Roman" w:eastAsia="宋体"/>
                <w:kern w:val="0"/>
                <w:sz w:val="18"/>
                <w:szCs w:val="18"/>
              </w:rPr>
              <w:t>300</w:t>
            </w:r>
          </w:p>
        </w:tc>
      </w:tr>
      <w:tr>
        <w:tblPrEx>
          <w:tblLayout w:type="fixed"/>
          <w:tblCellMar>
            <w:top w:w="0" w:type="dxa"/>
            <w:left w:w="108" w:type="dxa"/>
            <w:bottom w:w="0" w:type="dxa"/>
            <w:right w:w="108" w:type="dxa"/>
          </w:tblCellMar>
        </w:tblPrEx>
        <w:trPr>
          <w:trHeight w:val="317" w:hRule="atLeast"/>
          <w:jc w:val="center"/>
        </w:trPr>
        <w:tc>
          <w:tcPr>
            <w:tcW w:w="1872" w:type="dxa"/>
            <w:gridSpan w:val="2"/>
            <w:vMerge w:val="restart"/>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批发业</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从业人员</w:t>
            </w:r>
            <w:r>
              <w:rPr>
                <w:rFonts w:ascii="Times New Roman" w:eastAsia="宋体"/>
                <w:kern w:val="0"/>
                <w:sz w:val="18"/>
                <w:szCs w:val="18"/>
              </w:rPr>
              <w:t>(X)</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人</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宋体" w:hAnsi="宋体" w:eastAsia="宋体" w:cs="宋体"/>
                <w:kern w:val="0"/>
                <w:sz w:val="18"/>
                <w:szCs w:val="18"/>
              </w:rPr>
              <w:t>≧</w:t>
            </w:r>
            <w:r>
              <w:rPr>
                <w:rFonts w:ascii="Times New Roman" w:eastAsia="宋体"/>
                <w:kern w:val="0"/>
                <w:sz w:val="18"/>
                <w:szCs w:val="18"/>
              </w:rPr>
              <w:t>200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20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200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5=X</w:t>
            </w:r>
            <w:r>
              <w:rPr>
                <w:rFonts w:hint="eastAsia" w:ascii="Times New Roman" w:eastAsia="宋体"/>
                <w:kern w:val="0"/>
                <w:sz w:val="18"/>
                <w:szCs w:val="18"/>
              </w:rPr>
              <w:t>＜</w:t>
            </w:r>
            <w:r>
              <w:rPr>
                <w:rFonts w:ascii="Times New Roman" w:eastAsia="宋体"/>
                <w:kern w:val="0"/>
                <w:sz w:val="18"/>
                <w:szCs w:val="18"/>
              </w:rPr>
              <w:t>20</w:t>
            </w:r>
          </w:p>
        </w:tc>
        <w:tc>
          <w:tcPr>
            <w:tcW w:w="1103" w:type="dxa"/>
            <w:tcBorders>
              <w:top w:val="nil"/>
              <w:left w:val="nil"/>
              <w:bottom w:val="nil"/>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5</w:t>
            </w:r>
          </w:p>
        </w:tc>
      </w:tr>
      <w:tr>
        <w:tblPrEx>
          <w:tblLayout w:type="fixed"/>
          <w:tblCellMar>
            <w:top w:w="0" w:type="dxa"/>
            <w:left w:w="108" w:type="dxa"/>
            <w:bottom w:w="0" w:type="dxa"/>
            <w:right w:w="108" w:type="dxa"/>
          </w:tblCellMar>
        </w:tblPrEx>
        <w:trPr>
          <w:trHeight w:val="517" w:hRule="atLeast"/>
          <w:jc w:val="center"/>
        </w:trPr>
        <w:tc>
          <w:tcPr>
            <w:tcW w:w="1872" w:type="dxa"/>
            <w:gridSpan w:val="2"/>
            <w:vMerge w:val="continue"/>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营业收入</w:t>
            </w:r>
            <w:r>
              <w:rPr>
                <w:rFonts w:ascii="Times New Roman" w:eastAsia="宋体"/>
                <w:kern w:val="0"/>
                <w:sz w:val="18"/>
                <w:szCs w:val="18"/>
              </w:rPr>
              <w:t>(Y)</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宋体" w:hAnsi="宋体" w:eastAsia="宋体" w:cs="宋体"/>
                <w:kern w:val="0"/>
                <w:sz w:val="18"/>
                <w:szCs w:val="18"/>
              </w:rPr>
              <w:t>≧</w:t>
            </w:r>
            <w:r>
              <w:rPr>
                <w:rFonts w:ascii="Times New Roman" w:eastAsia="宋体"/>
                <w:kern w:val="0"/>
                <w:sz w:val="18"/>
                <w:szCs w:val="18"/>
              </w:rPr>
              <w:t>40000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5000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40000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1000=Y</w:t>
            </w:r>
            <w:r>
              <w:rPr>
                <w:rFonts w:hint="eastAsia" w:ascii="Times New Roman" w:eastAsia="宋体"/>
                <w:kern w:val="0"/>
                <w:sz w:val="18"/>
                <w:szCs w:val="18"/>
              </w:rPr>
              <w:t>＜</w:t>
            </w:r>
            <w:r>
              <w:rPr>
                <w:rFonts w:ascii="Times New Roman" w:eastAsia="宋体"/>
                <w:kern w:val="0"/>
                <w:sz w:val="18"/>
                <w:szCs w:val="18"/>
              </w:rPr>
              <w:t>5000</w:t>
            </w:r>
          </w:p>
        </w:tc>
        <w:tc>
          <w:tcPr>
            <w:tcW w:w="1103" w:type="dxa"/>
            <w:tcBorders>
              <w:top w:val="nil"/>
              <w:left w:val="nil"/>
              <w:bottom w:val="single" w:color="auto" w:sz="8"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1000</w:t>
            </w:r>
          </w:p>
        </w:tc>
      </w:tr>
      <w:tr>
        <w:tblPrEx>
          <w:tblLayout w:type="fixed"/>
          <w:tblCellMar>
            <w:top w:w="0" w:type="dxa"/>
            <w:left w:w="108" w:type="dxa"/>
            <w:bottom w:w="0" w:type="dxa"/>
            <w:right w:w="108" w:type="dxa"/>
          </w:tblCellMar>
        </w:tblPrEx>
        <w:trPr>
          <w:trHeight w:val="317" w:hRule="atLeast"/>
          <w:jc w:val="center"/>
        </w:trPr>
        <w:tc>
          <w:tcPr>
            <w:tcW w:w="1872" w:type="dxa"/>
            <w:gridSpan w:val="2"/>
            <w:vMerge w:val="restart"/>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零售业</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从业人员</w:t>
            </w:r>
            <w:r>
              <w:rPr>
                <w:rFonts w:ascii="Times New Roman" w:eastAsia="宋体"/>
                <w:kern w:val="0"/>
                <w:sz w:val="18"/>
                <w:szCs w:val="18"/>
              </w:rPr>
              <w:t>(X)</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人</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宋体" w:hAnsi="宋体" w:eastAsia="宋体" w:cs="宋体"/>
                <w:kern w:val="0"/>
                <w:sz w:val="18"/>
                <w:szCs w:val="18"/>
              </w:rPr>
              <w:t>≧</w:t>
            </w:r>
            <w:r>
              <w:rPr>
                <w:rFonts w:ascii="Times New Roman" w:eastAsia="宋体"/>
                <w:kern w:val="0"/>
                <w:sz w:val="18"/>
                <w:szCs w:val="18"/>
              </w:rPr>
              <w:t>300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50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300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10=X</w:t>
            </w:r>
            <w:r>
              <w:rPr>
                <w:rFonts w:hint="eastAsia" w:ascii="Times New Roman" w:eastAsia="宋体"/>
                <w:kern w:val="0"/>
                <w:sz w:val="18"/>
                <w:szCs w:val="18"/>
              </w:rPr>
              <w:t>＜</w:t>
            </w:r>
            <w:r>
              <w:rPr>
                <w:rFonts w:ascii="Times New Roman" w:eastAsia="宋体"/>
                <w:kern w:val="0"/>
                <w:sz w:val="18"/>
                <w:szCs w:val="18"/>
              </w:rPr>
              <w:t xml:space="preserve">50 </w:t>
            </w:r>
          </w:p>
        </w:tc>
        <w:tc>
          <w:tcPr>
            <w:tcW w:w="1103" w:type="dxa"/>
            <w:tcBorders>
              <w:top w:val="nil"/>
              <w:left w:val="nil"/>
              <w:bottom w:val="nil"/>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w:t>
            </w:r>
          </w:p>
        </w:tc>
      </w:tr>
      <w:tr>
        <w:tblPrEx>
          <w:tblLayout w:type="fixed"/>
          <w:tblCellMar>
            <w:top w:w="0" w:type="dxa"/>
            <w:left w:w="108" w:type="dxa"/>
            <w:bottom w:w="0" w:type="dxa"/>
            <w:right w:w="108" w:type="dxa"/>
          </w:tblCellMar>
        </w:tblPrEx>
        <w:trPr>
          <w:trHeight w:val="517" w:hRule="atLeast"/>
          <w:jc w:val="center"/>
        </w:trPr>
        <w:tc>
          <w:tcPr>
            <w:tcW w:w="1872" w:type="dxa"/>
            <w:gridSpan w:val="2"/>
            <w:vMerge w:val="continue"/>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营业收入</w:t>
            </w:r>
            <w:r>
              <w:rPr>
                <w:rFonts w:ascii="Times New Roman" w:eastAsia="宋体"/>
                <w:kern w:val="0"/>
                <w:sz w:val="18"/>
                <w:szCs w:val="18"/>
              </w:rPr>
              <w:t>(Y)</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宋体" w:hAnsi="宋体" w:eastAsia="宋体" w:cs="宋体"/>
                <w:kern w:val="0"/>
                <w:sz w:val="18"/>
                <w:szCs w:val="18"/>
              </w:rPr>
              <w:t>≧</w:t>
            </w:r>
            <w:r>
              <w:rPr>
                <w:rFonts w:ascii="Times New Roman" w:eastAsia="宋体"/>
                <w:kern w:val="0"/>
                <w:sz w:val="18"/>
                <w:szCs w:val="18"/>
              </w:rPr>
              <w:t>20000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500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20000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100=Y</w:t>
            </w:r>
            <w:r>
              <w:rPr>
                <w:rFonts w:hint="eastAsia" w:ascii="Times New Roman" w:eastAsia="宋体"/>
                <w:kern w:val="0"/>
                <w:sz w:val="18"/>
                <w:szCs w:val="18"/>
              </w:rPr>
              <w:t>＜</w:t>
            </w:r>
            <w:r>
              <w:rPr>
                <w:rFonts w:ascii="Times New Roman" w:eastAsia="宋体"/>
                <w:kern w:val="0"/>
                <w:sz w:val="18"/>
                <w:szCs w:val="18"/>
              </w:rPr>
              <w:t xml:space="preserve">500 </w:t>
            </w:r>
          </w:p>
        </w:tc>
        <w:tc>
          <w:tcPr>
            <w:tcW w:w="1103" w:type="dxa"/>
            <w:tcBorders>
              <w:top w:val="nil"/>
              <w:left w:val="nil"/>
              <w:bottom w:val="single" w:color="auto" w:sz="8"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w:t>
            </w:r>
          </w:p>
        </w:tc>
      </w:tr>
      <w:tr>
        <w:tblPrEx>
          <w:tblLayout w:type="fixed"/>
          <w:tblCellMar>
            <w:top w:w="0" w:type="dxa"/>
            <w:left w:w="108" w:type="dxa"/>
            <w:bottom w:w="0" w:type="dxa"/>
            <w:right w:w="108" w:type="dxa"/>
          </w:tblCellMar>
        </w:tblPrEx>
        <w:trPr>
          <w:trHeight w:val="501" w:hRule="atLeast"/>
          <w:jc w:val="center"/>
        </w:trPr>
        <w:tc>
          <w:tcPr>
            <w:tcW w:w="1872" w:type="dxa"/>
            <w:gridSpan w:val="2"/>
            <w:vMerge w:val="restart"/>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交通运输业（包括道路、水上、航空、管道运输业，装卸搬运和运输代理业，不包括铁路运输业）</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从业人员</w:t>
            </w:r>
            <w:r>
              <w:rPr>
                <w:rFonts w:ascii="Times New Roman" w:eastAsia="宋体"/>
                <w:kern w:val="0"/>
                <w:sz w:val="18"/>
                <w:szCs w:val="18"/>
              </w:rPr>
              <w:t>(X)</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人</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宋体" w:hAnsi="宋体" w:eastAsia="宋体" w:cs="宋体"/>
                <w:kern w:val="0"/>
                <w:sz w:val="18"/>
                <w:szCs w:val="18"/>
              </w:rPr>
              <w:t>≧</w:t>
            </w:r>
            <w:r>
              <w:rPr>
                <w:rFonts w:ascii="Times New Roman" w:eastAsia="宋体"/>
                <w:kern w:val="0"/>
                <w:sz w:val="18"/>
                <w:szCs w:val="18"/>
              </w:rPr>
              <w:t>1000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300</w:t>
            </w:r>
            <w:r>
              <w:rPr>
                <w:rFonts w:hint="eastAsia" w:ascii="宋体" w:hAnsi="宋体" w:eastAsia="宋体" w:cs="宋体"/>
                <w:kern w:val="0"/>
                <w:sz w:val="18"/>
                <w:szCs w:val="18"/>
              </w:rPr>
              <w:t>≦</w:t>
            </w:r>
            <w:r>
              <w:rPr>
                <w:rFonts w:hint="eastAsia" w:ascii="Times New Roman" w:eastAsia="宋体"/>
                <w:kern w:val="0"/>
                <w:sz w:val="18"/>
                <w:szCs w:val="18"/>
              </w:rPr>
              <w:t>＜</w:t>
            </w:r>
            <w:r>
              <w:rPr>
                <w:rFonts w:ascii="Times New Roman" w:eastAsia="宋体"/>
                <w:kern w:val="0"/>
                <w:sz w:val="18"/>
                <w:szCs w:val="18"/>
              </w:rPr>
              <w:t>1000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20=X</w:t>
            </w:r>
            <w:r>
              <w:rPr>
                <w:rFonts w:hint="eastAsia" w:ascii="Times New Roman" w:eastAsia="宋体"/>
                <w:kern w:val="0"/>
                <w:sz w:val="18"/>
                <w:szCs w:val="18"/>
              </w:rPr>
              <w:t>＜</w:t>
            </w:r>
            <w:r>
              <w:rPr>
                <w:rFonts w:ascii="Times New Roman" w:eastAsia="宋体"/>
                <w:kern w:val="0"/>
                <w:sz w:val="18"/>
                <w:szCs w:val="18"/>
              </w:rPr>
              <w:t>300</w:t>
            </w:r>
          </w:p>
        </w:tc>
        <w:tc>
          <w:tcPr>
            <w:tcW w:w="1103" w:type="dxa"/>
            <w:tcBorders>
              <w:top w:val="nil"/>
              <w:left w:val="nil"/>
              <w:bottom w:val="nil"/>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20</w:t>
            </w:r>
          </w:p>
        </w:tc>
      </w:tr>
      <w:tr>
        <w:tblPrEx>
          <w:tblLayout w:type="fixed"/>
          <w:tblCellMar>
            <w:top w:w="0" w:type="dxa"/>
            <w:left w:w="108" w:type="dxa"/>
            <w:bottom w:w="0" w:type="dxa"/>
            <w:right w:w="108" w:type="dxa"/>
          </w:tblCellMar>
        </w:tblPrEx>
        <w:trPr>
          <w:trHeight w:val="517" w:hRule="atLeast"/>
          <w:jc w:val="center"/>
        </w:trPr>
        <w:tc>
          <w:tcPr>
            <w:tcW w:w="1872" w:type="dxa"/>
            <w:gridSpan w:val="2"/>
            <w:vMerge w:val="continue"/>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营业收入</w:t>
            </w:r>
            <w:r>
              <w:rPr>
                <w:rFonts w:ascii="Times New Roman" w:eastAsia="宋体"/>
                <w:kern w:val="0"/>
                <w:sz w:val="18"/>
                <w:szCs w:val="18"/>
              </w:rPr>
              <w:t>(Y)</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宋体" w:hAnsi="宋体" w:eastAsia="宋体" w:cs="宋体"/>
                <w:kern w:val="0"/>
                <w:sz w:val="18"/>
                <w:szCs w:val="18"/>
              </w:rPr>
              <w:t>≧</w:t>
            </w:r>
            <w:r>
              <w:rPr>
                <w:rFonts w:ascii="Times New Roman" w:eastAsia="宋体"/>
                <w:kern w:val="0"/>
                <w:sz w:val="18"/>
                <w:szCs w:val="18"/>
              </w:rPr>
              <w:t>30000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3000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30000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200=Y</w:t>
            </w:r>
            <w:r>
              <w:rPr>
                <w:rFonts w:hint="eastAsia" w:ascii="Times New Roman" w:eastAsia="宋体"/>
                <w:kern w:val="0"/>
                <w:sz w:val="18"/>
                <w:szCs w:val="18"/>
              </w:rPr>
              <w:t>＜</w:t>
            </w:r>
            <w:r>
              <w:rPr>
                <w:rFonts w:ascii="Times New Roman" w:eastAsia="宋体"/>
                <w:kern w:val="0"/>
                <w:sz w:val="18"/>
                <w:szCs w:val="18"/>
              </w:rPr>
              <w:t>3000</w:t>
            </w:r>
          </w:p>
        </w:tc>
        <w:tc>
          <w:tcPr>
            <w:tcW w:w="1103" w:type="dxa"/>
            <w:tcBorders>
              <w:top w:val="nil"/>
              <w:left w:val="nil"/>
              <w:bottom w:val="single" w:color="auto" w:sz="8"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200</w:t>
            </w:r>
          </w:p>
        </w:tc>
      </w:tr>
      <w:tr>
        <w:tblPrEx>
          <w:tblLayout w:type="fixed"/>
          <w:tblCellMar>
            <w:top w:w="0" w:type="dxa"/>
            <w:left w:w="108" w:type="dxa"/>
            <w:bottom w:w="0" w:type="dxa"/>
            <w:right w:w="108" w:type="dxa"/>
          </w:tblCellMar>
        </w:tblPrEx>
        <w:trPr>
          <w:trHeight w:val="317" w:hRule="atLeast"/>
          <w:jc w:val="center"/>
        </w:trPr>
        <w:tc>
          <w:tcPr>
            <w:tcW w:w="1872" w:type="dxa"/>
            <w:gridSpan w:val="2"/>
            <w:vMerge w:val="restart"/>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仓储业</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从业人员</w:t>
            </w:r>
            <w:r>
              <w:rPr>
                <w:rFonts w:ascii="Times New Roman" w:eastAsia="宋体"/>
                <w:kern w:val="0"/>
                <w:sz w:val="18"/>
                <w:szCs w:val="18"/>
              </w:rPr>
              <w:t>(X)</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人</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宋体" w:hAnsi="宋体" w:eastAsia="宋体" w:cs="宋体"/>
                <w:kern w:val="0"/>
                <w:sz w:val="18"/>
                <w:szCs w:val="18"/>
              </w:rPr>
              <w:t>≧</w:t>
            </w:r>
            <w:r>
              <w:rPr>
                <w:rFonts w:ascii="Times New Roman" w:eastAsia="宋体"/>
                <w:kern w:val="0"/>
                <w:sz w:val="18"/>
                <w:szCs w:val="18"/>
              </w:rPr>
              <w:t>200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100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200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20=X</w:t>
            </w:r>
            <w:r>
              <w:rPr>
                <w:rFonts w:hint="eastAsia" w:ascii="Times New Roman" w:eastAsia="宋体"/>
                <w:kern w:val="0"/>
                <w:sz w:val="18"/>
                <w:szCs w:val="18"/>
              </w:rPr>
              <w:t>＜</w:t>
            </w:r>
            <w:r>
              <w:rPr>
                <w:rFonts w:ascii="Times New Roman" w:eastAsia="宋体"/>
                <w:kern w:val="0"/>
                <w:sz w:val="18"/>
                <w:szCs w:val="18"/>
              </w:rPr>
              <w:t>100</w:t>
            </w:r>
          </w:p>
        </w:tc>
        <w:tc>
          <w:tcPr>
            <w:tcW w:w="1103" w:type="dxa"/>
            <w:tcBorders>
              <w:top w:val="nil"/>
              <w:left w:val="nil"/>
              <w:bottom w:val="nil"/>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20</w:t>
            </w:r>
          </w:p>
        </w:tc>
      </w:tr>
      <w:tr>
        <w:tblPrEx>
          <w:tblLayout w:type="fixed"/>
          <w:tblCellMar>
            <w:top w:w="0" w:type="dxa"/>
            <w:left w:w="108" w:type="dxa"/>
            <w:bottom w:w="0" w:type="dxa"/>
            <w:right w:w="108" w:type="dxa"/>
          </w:tblCellMar>
        </w:tblPrEx>
        <w:trPr>
          <w:trHeight w:val="517" w:hRule="atLeast"/>
          <w:jc w:val="center"/>
        </w:trPr>
        <w:tc>
          <w:tcPr>
            <w:tcW w:w="1872" w:type="dxa"/>
            <w:gridSpan w:val="2"/>
            <w:vMerge w:val="continue"/>
            <w:tcBorders>
              <w:top w:val="nil"/>
              <w:bottom w:val="single" w:color="auto" w:sz="8" w:space="0"/>
              <w:right w:val="single" w:color="auto" w:sz="8" w:space="0"/>
            </w:tcBorders>
            <w:vAlign w:val="top"/>
          </w:tcPr>
          <w:p>
            <w:pPr>
              <w:pStyle w:val="13"/>
              <w:widowControl/>
              <w:rPr>
                <w:rFonts w:ascii="Times New Roman" w:eastAsia="宋体"/>
                <w:kern w:val="0"/>
                <w:sz w:val="18"/>
                <w:szCs w:val="18"/>
              </w:rPr>
            </w:pP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营业收入</w:t>
            </w:r>
            <w:r>
              <w:rPr>
                <w:rFonts w:ascii="Times New Roman" w:eastAsia="宋体"/>
                <w:kern w:val="0"/>
                <w:sz w:val="18"/>
                <w:szCs w:val="18"/>
              </w:rPr>
              <w:t>(Y)</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Y=30000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1000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30000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100=Y</w:t>
            </w:r>
            <w:r>
              <w:rPr>
                <w:rFonts w:hint="eastAsia" w:ascii="Times New Roman" w:eastAsia="宋体"/>
                <w:kern w:val="0"/>
                <w:sz w:val="18"/>
                <w:szCs w:val="18"/>
              </w:rPr>
              <w:t>＜</w:t>
            </w:r>
            <w:r>
              <w:rPr>
                <w:rFonts w:ascii="Times New Roman" w:eastAsia="宋体"/>
                <w:kern w:val="0"/>
                <w:sz w:val="18"/>
                <w:szCs w:val="18"/>
              </w:rPr>
              <w:t>1000</w:t>
            </w:r>
          </w:p>
        </w:tc>
        <w:tc>
          <w:tcPr>
            <w:tcW w:w="1103" w:type="dxa"/>
            <w:tcBorders>
              <w:top w:val="nil"/>
              <w:left w:val="nil"/>
              <w:bottom w:val="single" w:color="auto" w:sz="8"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w:t>
            </w:r>
          </w:p>
        </w:tc>
      </w:tr>
      <w:tr>
        <w:tblPrEx>
          <w:tblLayout w:type="fixed"/>
          <w:tblCellMar>
            <w:top w:w="0" w:type="dxa"/>
            <w:left w:w="108" w:type="dxa"/>
            <w:bottom w:w="0" w:type="dxa"/>
            <w:right w:w="108" w:type="dxa"/>
          </w:tblCellMar>
        </w:tblPrEx>
        <w:trPr>
          <w:trHeight w:val="501" w:hRule="atLeast"/>
          <w:jc w:val="center"/>
        </w:trPr>
        <w:tc>
          <w:tcPr>
            <w:tcW w:w="1872" w:type="dxa"/>
            <w:gridSpan w:val="2"/>
            <w:vMerge w:val="restart"/>
            <w:tcBorders>
              <w:top w:val="single" w:color="auto" w:sz="8" w:space="0"/>
              <w:bottom w:val="single" w:color="000000"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邮政业</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从业人员</w:t>
            </w:r>
            <w:r>
              <w:rPr>
                <w:rFonts w:ascii="Times New Roman" w:eastAsia="宋体"/>
                <w:kern w:val="0"/>
                <w:sz w:val="18"/>
                <w:szCs w:val="18"/>
              </w:rPr>
              <w:t>(X)</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人</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宋体" w:hAnsi="宋体" w:eastAsia="宋体" w:cs="宋体"/>
                <w:kern w:val="0"/>
                <w:sz w:val="18"/>
                <w:szCs w:val="18"/>
              </w:rPr>
              <w:t>≧</w:t>
            </w:r>
            <w:r>
              <w:rPr>
                <w:rFonts w:ascii="Times New Roman" w:eastAsia="宋体"/>
                <w:kern w:val="0"/>
                <w:sz w:val="18"/>
                <w:szCs w:val="18"/>
              </w:rPr>
              <w:t>1000</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300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1000</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20=X</w:t>
            </w:r>
            <w:r>
              <w:rPr>
                <w:rFonts w:hint="eastAsia" w:ascii="Times New Roman" w:eastAsia="宋体"/>
                <w:kern w:val="0"/>
                <w:sz w:val="18"/>
                <w:szCs w:val="18"/>
              </w:rPr>
              <w:t>＜</w:t>
            </w:r>
            <w:r>
              <w:rPr>
                <w:rFonts w:ascii="Times New Roman" w:eastAsia="宋体"/>
                <w:kern w:val="0"/>
                <w:sz w:val="18"/>
                <w:szCs w:val="18"/>
              </w:rPr>
              <w:t>300</w:t>
            </w:r>
          </w:p>
        </w:tc>
        <w:tc>
          <w:tcPr>
            <w:tcW w:w="1103" w:type="dxa"/>
            <w:tcBorders>
              <w:top w:val="single" w:color="auto" w:sz="8" w:space="0"/>
              <w:left w:val="nil"/>
              <w:bottom w:val="nil"/>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20</w:t>
            </w:r>
          </w:p>
        </w:tc>
      </w:tr>
      <w:tr>
        <w:tblPrEx>
          <w:tblLayout w:type="fixed"/>
          <w:tblCellMar>
            <w:top w:w="0" w:type="dxa"/>
            <w:left w:w="108" w:type="dxa"/>
            <w:bottom w:w="0" w:type="dxa"/>
            <w:right w:w="108" w:type="dxa"/>
          </w:tblCellMar>
        </w:tblPrEx>
        <w:trPr>
          <w:trHeight w:val="517" w:hRule="atLeast"/>
          <w:jc w:val="center"/>
        </w:trPr>
        <w:tc>
          <w:tcPr>
            <w:tcW w:w="1872" w:type="dxa"/>
            <w:gridSpan w:val="2"/>
            <w:vMerge w:val="continue"/>
            <w:tcBorders>
              <w:top w:val="nil"/>
              <w:bottom w:val="single" w:color="auto" w:sz="8" w:space="0"/>
              <w:right w:val="single" w:color="auto" w:sz="8" w:space="0"/>
            </w:tcBorders>
            <w:vAlign w:val="top"/>
          </w:tcPr>
          <w:p>
            <w:pPr>
              <w:pStyle w:val="13"/>
              <w:widowControl/>
              <w:rPr>
                <w:rFonts w:ascii="Times New Roman" w:eastAsia="宋体"/>
                <w:kern w:val="0"/>
                <w:sz w:val="18"/>
                <w:szCs w:val="18"/>
              </w:rPr>
            </w:pP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营业收入</w:t>
            </w:r>
            <w:r>
              <w:rPr>
                <w:rFonts w:ascii="Times New Roman" w:eastAsia="宋体"/>
                <w:kern w:val="0"/>
                <w:sz w:val="18"/>
                <w:szCs w:val="18"/>
              </w:rPr>
              <w:t>(Y)</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宋体" w:hAnsi="宋体" w:eastAsia="宋体" w:cs="宋体"/>
                <w:kern w:val="0"/>
                <w:sz w:val="18"/>
                <w:szCs w:val="18"/>
              </w:rPr>
              <w:t>≧</w:t>
            </w:r>
            <w:r>
              <w:rPr>
                <w:rFonts w:ascii="Times New Roman" w:eastAsia="宋体"/>
                <w:kern w:val="0"/>
                <w:sz w:val="18"/>
                <w:szCs w:val="18"/>
              </w:rPr>
              <w:t>30000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2000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30000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100=Y</w:t>
            </w:r>
            <w:r>
              <w:rPr>
                <w:rFonts w:hint="eastAsia" w:ascii="Times New Roman" w:eastAsia="宋体"/>
                <w:kern w:val="0"/>
                <w:sz w:val="18"/>
                <w:szCs w:val="18"/>
              </w:rPr>
              <w:t>＜</w:t>
            </w:r>
            <w:r>
              <w:rPr>
                <w:rFonts w:ascii="Times New Roman" w:eastAsia="宋体"/>
                <w:kern w:val="0"/>
                <w:sz w:val="18"/>
                <w:szCs w:val="18"/>
              </w:rPr>
              <w:t>2000</w:t>
            </w:r>
          </w:p>
        </w:tc>
        <w:tc>
          <w:tcPr>
            <w:tcW w:w="1103" w:type="dxa"/>
            <w:tcBorders>
              <w:top w:val="nil"/>
              <w:left w:val="nil"/>
              <w:bottom w:val="single" w:color="auto" w:sz="8"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w:t>
            </w:r>
          </w:p>
        </w:tc>
      </w:tr>
      <w:tr>
        <w:tblPrEx>
          <w:tblLayout w:type="fixed"/>
          <w:tblCellMar>
            <w:top w:w="0" w:type="dxa"/>
            <w:left w:w="108" w:type="dxa"/>
            <w:bottom w:w="0" w:type="dxa"/>
            <w:right w:w="108" w:type="dxa"/>
          </w:tblCellMar>
        </w:tblPrEx>
        <w:trPr>
          <w:trHeight w:val="317" w:hRule="atLeast"/>
          <w:jc w:val="center"/>
        </w:trPr>
        <w:tc>
          <w:tcPr>
            <w:tcW w:w="1872" w:type="dxa"/>
            <w:gridSpan w:val="2"/>
            <w:vMerge w:val="restart"/>
            <w:tcBorders>
              <w:top w:val="single" w:color="auto" w:sz="8" w:space="0"/>
              <w:bottom w:val="single" w:color="000000"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住宿业</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从业人员</w:t>
            </w:r>
            <w:r>
              <w:rPr>
                <w:rFonts w:ascii="Times New Roman" w:eastAsia="宋体"/>
                <w:kern w:val="0"/>
                <w:sz w:val="18"/>
                <w:szCs w:val="18"/>
              </w:rPr>
              <w:t>(X)</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人</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宋体" w:hAnsi="宋体" w:eastAsia="宋体" w:cs="宋体"/>
                <w:kern w:val="0"/>
                <w:sz w:val="18"/>
                <w:szCs w:val="18"/>
              </w:rPr>
              <w:t>≧</w:t>
            </w:r>
            <w:r>
              <w:rPr>
                <w:rFonts w:ascii="Times New Roman" w:eastAsia="宋体"/>
                <w:kern w:val="0"/>
                <w:sz w:val="18"/>
                <w:szCs w:val="18"/>
              </w:rPr>
              <w:t>300</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100=X</w:t>
            </w:r>
            <w:r>
              <w:rPr>
                <w:rFonts w:hint="eastAsia" w:ascii="Times New Roman" w:eastAsia="宋体"/>
                <w:kern w:val="0"/>
                <w:sz w:val="18"/>
                <w:szCs w:val="18"/>
              </w:rPr>
              <w:t>＜</w:t>
            </w:r>
            <w:r>
              <w:rPr>
                <w:rFonts w:ascii="Times New Roman" w:eastAsia="宋体"/>
                <w:kern w:val="0"/>
                <w:sz w:val="18"/>
                <w:szCs w:val="18"/>
              </w:rPr>
              <w:t xml:space="preserve">300 </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10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100</w:t>
            </w:r>
          </w:p>
        </w:tc>
        <w:tc>
          <w:tcPr>
            <w:tcW w:w="1103" w:type="dxa"/>
            <w:tcBorders>
              <w:top w:val="single" w:color="auto" w:sz="8" w:space="0"/>
              <w:left w:val="nil"/>
              <w:bottom w:val="nil"/>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w:t>
            </w:r>
          </w:p>
        </w:tc>
      </w:tr>
      <w:tr>
        <w:tblPrEx>
          <w:tblLayout w:type="fixed"/>
          <w:tblCellMar>
            <w:top w:w="0" w:type="dxa"/>
            <w:left w:w="108" w:type="dxa"/>
            <w:bottom w:w="0" w:type="dxa"/>
            <w:right w:w="108" w:type="dxa"/>
          </w:tblCellMar>
        </w:tblPrEx>
        <w:trPr>
          <w:trHeight w:val="779" w:hRule="atLeast"/>
          <w:jc w:val="center"/>
        </w:trPr>
        <w:tc>
          <w:tcPr>
            <w:tcW w:w="1872" w:type="dxa"/>
            <w:gridSpan w:val="2"/>
            <w:vMerge w:val="continue"/>
            <w:tcBorders>
              <w:top w:val="nil"/>
              <w:bottom w:val="single" w:color="auto" w:sz="8" w:space="0"/>
              <w:right w:val="single" w:color="auto" w:sz="8" w:space="0"/>
            </w:tcBorders>
            <w:vAlign w:val="top"/>
          </w:tcPr>
          <w:p>
            <w:pPr>
              <w:pStyle w:val="13"/>
              <w:widowControl/>
              <w:rPr>
                <w:rFonts w:ascii="Times New Roman" w:eastAsia="宋体"/>
                <w:kern w:val="0"/>
                <w:sz w:val="18"/>
                <w:szCs w:val="18"/>
              </w:rPr>
            </w:pP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营业收入</w:t>
            </w:r>
            <w:r>
              <w:rPr>
                <w:rFonts w:ascii="Times New Roman" w:eastAsia="宋体"/>
                <w:kern w:val="0"/>
                <w:sz w:val="18"/>
                <w:szCs w:val="18"/>
              </w:rPr>
              <w:t>(Y)</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宋体" w:hAnsi="宋体" w:eastAsia="宋体" w:cs="宋体"/>
                <w:kern w:val="0"/>
                <w:sz w:val="18"/>
                <w:szCs w:val="18"/>
              </w:rPr>
              <w:t>≧</w:t>
            </w:r>
            <w:r>
              <w:rPr>
                <w:rFonts w:ascii="Times New Roman" w:eastAsia="宋体"/>
                <w:kern w:val="0"/>
                <w:sz w:val="18"/>
                <w:szCs w:val="18"/>
              </w:rPr>
              <w:t>10000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2000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100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2000</w:t>
            </w:r>
          </w:p>
        </w:tc>
        <w:tc>
          <w:tcPr>
            <w:tcW w:w="1103" w:type="dxa"/>
            <w:tcBorders>
              <w:top w:val="nil"/>
              <w:left w:val="nil"/>
              <w:bottom w:val="single" w:color="auto" w:sz="8"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w:t>
            </w:r>
          </w:p>
        </w:tc>
      </w:tr>
      <w:tr>
        <w:tblPrEx>
          <w:tblLayout w:type="fixed"/>
          <w:tblCellMar>
            <w:top w:w="0" w:type="dxa"/>
            <w:left w:w="108" w:type="dxa"/>
            <w:bottom w:w="0" w:type="dxa"/>
            <w:right w:w="108" w:type="dxa"/>
          </w:tblCellMar>
        </w:tblPrEx>
        <w:trPr>
          <w:trHeight w:val="317" w:hRule="atLeast"/>
          <w:jc w:val="center"/>
        </w:trPr>
        <w:tc>
          <w:tcPr>
            <w:tcW w:w="1872" w:type="dxa"/>
            <w:gridSpan w:val="2"/>
            <w:vMerge w:val="restart"/>
            <w:tcBorders>
              <w:top w:val="single" w:color="auto" w:sz="8" w:space="0"/>
              <w:bottom w:val="single" w:color="000000"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餐饮业</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从业人员</w:t>
            </w:r>
            <w:r>
              <w:rPr>
                <w:rFonts w:ascii="Times New Roman" w:eastAsia="宋体"/>
                <w:kern w:val="0"/>
                <w:sz w:val="18"/>
                <w:szCs w:val="18"/>
              </w:rPr>
              <w:t>(X)</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人</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宋体" w:hAnsi="宋体" w:eastAsia="宋体" w:cs="宋体"/>
                <w:kern w:val="0"/>
                <w:sz w:val="18"/>
                <w:szCs w:val="18"/>
              </w:rPr>
              <w:t>≧</w:t>
            </w:r>
            <w:r>
              <w:rPr>
                <w:rFonts w:ascii="Times New Roman" w:eastAsia="宋体"/>
                <w:kern w:val="0"/>
                <w:sz w:val="18"/>
                <w:szCs w:val="18"/>
              </w:rPr>
              <w:t>300</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100=X</w:t>
            </w:r>
            <w:r>
              <w:rPr>
                <w:rFonts w:hint="eastAsia" w:ascii="Times New Roman" w:eastAsia="宋体"/>
                <w:kern w:val="0"/>
                <w:sz w:val="18"/>
                <w:szCs w:val="18"/>
              </w:rPr>
              <w:t>＜</w:t>
            </w:r>
            <w:r>
              <w:rPr>
                <w:rFonts w:ascii="Times New Roman" w:eastAsia="宋体"/>
                <w:kern w:val="0"/>
                <w:sz w:val="18"/>
                <w:szCs w:val="18"/>
              </w:rPr>
              <w:t xml:space="preserve">300 </w:t>
            </w:r>
          </w:p>
        </w:tc>
        <w:tc>
          <w:tcPr>
            <w:tcW w:w="1103" w:type="dxa"/>
            <w:tcBorders>
              <w:top w:val="single" w:color="auto" w:sz="8" w:space="0"/>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10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100</w:t>
            </w:r>
          </w:p>
        </w:tc>
        <w:tc>
          <w:tcPr>
            <w:tcW w:w="1103" w:type="dxa"/>
            <w:tcBorders>
              <w:top w:val="single" w:color="auto" w:sz="8" w:space="0"/>
              <w:left w:val="nil"/>
              <w:bottom w:val="nil"/>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w:t>
            </w:r>
          </w:p>
        </w:tc>
      </w:tr>
      <w:tr>
        <w:tblPrEx>
          <w:tblLayout w:type="fixed"/>
          <w:tblCellMar>
            <w:top w:w="0" w:type="dxa"/>
            <w:left w:w="108" w:type="dxa"/>
            <w:bottom w:w="0" w:type="dxa"/>
            <w:right w:w="108" w:type="dxa"/>
          </w:tblCellMar>
        </w:tblPrEx>
        <w:trPr>
          <w:trHeight w:val="910" w:hRule="atLeast"/>
          <w:jc w:val="center"/>
        </w:trPr>
        <w:tc>
          <w:tcPr>
            <w:tcW w:w="1872" w:type="dxa"/>
            <w:gridSpan w:val="2"/>
            <w:vMerge w:val="continue"/>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营业收入</w:t>
            </w:r>
            <w:r>
              <w:rPr>
                <w:rFonts w:ascii="Times New Roman" w:eastAsia="宋体"/>
                <w:kern w:val="0"/>
                <w:sz w:val="18"/>
                <w:szCs w:val="18"/>
              </w:rPr>
              <w:t>(Y)</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宋体" w:hAnsi="宋体" w:eastAsia="宋体" w:cs="宋体"/>
                <w:kern w:val="0"/>
                <w:sz w:val="18"/>
                <w:szCs w:val="18"/>
              </w:rPr>
              <w:t>≧</w:t>
            </w:r>
            <w:r>
              <w:rPr>
                <w:rFonts w:ascii="Times New Roman" w:eastAsia="宋体"/>
                <w:kern w:val="0"/>
                <w:sz w:val="18"/>
                <w:szCs w:val="18"/>
              </w:rPr>
              <w:t>10000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2000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100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2000</w:t>
            </w:r>
          </w:p>
        </w:tc>
        <w:tc>
          <w:tcPr>
            <w:tcW w:w="1103" w:type="dxa"/>
            <w:tcBorders>
              <w:top w:val="nil"/>
              <w:left w:val="nil"/>
              <w:bottom w:val="single" w:color="auto" w:sz="8"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w:t>
            </w:r>
          </w:p>
        </w:tc>
      </w:tr>
      <w:tr>
        <w:tblPrEx>
          <w:tblLayout w:type="fixed"/>
          <w:tblCellMar>
            <w:top w:w="0" w:type="dxa"/>
            <w:left w:w="108" w:type="dxa"/>
            <w:bottom w:w="0" w:type="dxa"/>
            <w:right w:w="108" w:type="dxa"/>
          </w:tblCellMar>
        </w:tblPrEx>
        <w:trPr>
          <w:trHeight w:val="501" w:hRule="atLeast"/>
          <w:jc w:val="center"/>
        </w:trPr>
        <w:tc>
          <w:tcPr>
            <w:tcW w:w="1872" w:type="dxa"/>
            <w:gridSpan w:val="2"/>
            <w:vMerge w:val="restart"/>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信息传输业（包括电信、广播电视和卫星传输服务，互联网和相关服务）</w:t>
            </w:r>
            <w:r>
              <w:rPr>
                <w:rFonts w:ascii="Times New Roman" w:eastAsia="宋体"/>
                <w:kern w:val="0"/>
                <w:sz w:val="18"/>
                <w:szCs w:val="18"/>
              </w:rPr>
              <w:t xml:space="preserve"> </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从业人员</w:t>
            </w:r>
            <w:r>
              <w:rPr>
                <w:rFonts w:ascii="Times New Roman" w:eastAsia="宋体"/>
                <w:kern w:val="0"/>
                <w:sz w:val="18"/>
                <w:szCs w:val="18"/>
              </w:rPr>
              <w:t>(X)</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人</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宋体" w:hAnsi="宋体" w:eastAsia="宋体" w:cs="宋体"/>
                <w:kern w:val="0"/>
                <w:sz w:val="18"/>
                <w:szCs w:val="18"/>
              </w:rPr>
              <w:t>≧</w:t>
            </w:r>
            <w:r>
              <w:rPr>
                <w:rFonts w:ascii="Times New Roman" w:eastAsia="宋体"/>
                <w:kern w:val="0"/>
                <w:sz w:val="18"/>
                <w:szCs w:val="18"/>
              </w:rPr>
              <w:t>2000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100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2000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10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100</w:t>
            </w:r>
          </w:p>
        </w:tc>
        <w:tc>
          <w:tcPr>
            <w:tcW w:w="1103" w:type="dxa"/>
            <w:tcBorders>
              <w:top w:val="nil"/>
              <w:left w:val="nil"/>
              <w:bottom w:val="nil"/>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w:t>
            </w:r>
          </w:p>
        </w:tc>
      </w:tr>
      <w:tr>
        <w:tblPrEx>
          <w:tblLayout w:type="fixed"/>
          <w:tblCellMar>
            <w:top w:w="0" w:type="dxa"/>
            <w:left w:w="108" w:type="dxa"/>
            <w:bottom w:w="0" w:type="dxa"/>
            <w:right w:w="108" w:type="dxa"/>
          </w:tblCellMar>
        </w:tblPrEx>
        <w:trPr>
          <w:trHeight w:val="886" w:hRule="atLeast"/>
          <w:jc w:val="center"/>
        </w:trPr>
        <w:tc>
          <w:tcPr>
            <w:tcW w:w="1872" w:type="dxa"/>
            <w:gridSpan w:val="2"/>
            <w:vMerge w:val="continue"/>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营业收入</w:t>
            </w:r>
            <w:r>
              <w:rPr>
                <w:rFonts w:ascii="Times New Roman" w:eastAsia="宋体"/>
                <w:kern w:val="0"/>
                <w:sz w:val="18"/>
                <w:szCs w:val="18"/>
              </w:rPr>
              <w:t>(Y)</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宋体" w:hAnsi="宋体" w:eastAsia="宋体" w:cs="宋体"/>
                <w:kern w:val="0"/>
                <w:sz w:val="18"/>
                <w:szCs w:val="18"/>
              </w:rPr>
              <w:t>≧</w:t>
            </w:r>
            <w:r>
              <w:rPr>
                <w:rFonts w:ascii="Times New Roman" w:eastAsia="宋体"/>
                <w:kern w:val="0"/>
                <w:sz w:val="18"/>
                <w:szCs w:val="18"/>
              </w:rPr>
              <w:t>100000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1000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100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1000</w:t>
            </w:r>
          </w:p>
        </w:tc>
        <w:tc>
          <w:tcPr>
            <w:tcW w:w="1103" w:type="dxa"/>
            <w:tcBorders>
              <w:top w:val="nil"/>
              <w:left w:val="nil"/>
              <w:bottom w:val="single" w:color="auto" w:sz="8"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w:t>
            </w:r>
          </w:p>
        </w:tc>
      </w:tr>
      <w:tr>
        <w:tblPrEx>
          <w:tblLayout w:type="fixed"/>
          <w:tblCellMar>
            <w:top w:w="0" w:type="dxa"/>
            <w:left w:w="108" w:type="dxa"/>
            <w:bottom w:w="0" w:type="dxa"/>
            <w:right w:w="108" w:type="dxa"/>
          </w:tblCellMar>
        </w:tblPrEx>
        <w:trPr>
          <w:trHeight w:val="317" w:hRule="atLeast"/>
          <w:jc w:val="center"/>
        </w:trPr>
        <w:tc>
          <w:tcPr>
            <w:tcW w:w="1872" w:type="dxa"/>
            <w:gridSpan w:val="2"/>
            <w:vMerge w:val="restart"/>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软件和信息技术服务业</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从业人员</w:t>
            </w:r>
            <w:r>
              <w:rPr>
                <w:rFonts w:ascii="Times New Roman" w:eastAsia="宋体"/>
                <w:kern w:val="0"/>
                <w:sz w:val="18"/>
                <w:szCs w:val="18"/>
              </w:rPr>
              <w:t>(X)</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人</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宋体" w:hAnsi="宋体" w:eastAsia="宋体" w:cs="宋体"/>
                <w:kern w:val="0"/>
                <w:sz w:val="18"/>
                <w:szCs w:val="18"/>
              </w:rPr>
              <w:t>≧</w:t>
            </w:r>
            <w:r>
              <w:rPr>
                <w:rFonts w:ascii="Times New Roman" w:eastAsia="宋体"/>
                <w:kern w:val="0"/>
                <w:sz w:val="18"/>
                <w:szCs w:val="18"/>
              </w:rPr>
              <w:t>=300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100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 xml:space="preserve">300 </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10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100</w:t>
            </w:r>
          </w:p>
        </w:tc>
        <w:tc>
          <w:tcPr>
            <w:tcW w:w="1103" w:type="dxa"/>
            <w:tcBorders>
              <w:top w:val="nil"/>
              <w:left w:val="nil"/>
              <w:bottom w:val="nil"/>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w:t>
            </w:r>
          </w:p>
        </w:tc>
      </w:tr>
      <w:tr>
        <w:tblPrEx>
          <w:tblLayout w:type="fixed"/>
          <w:tblCellMar>
            <w:top w:w="0" w:type="dxa"/>
            <w:left w:w="108" w:type="dxa"/>
            <w:bottom w:w="0" w:type="dxa"/>
            <w:right w:w="108" w:type="dxa"/>
          </w:tblCellMar>
        </w:tblPrEx>
        <w:trPr>
          <w:trHeight w:val="876" w:hRule="atLeast"/>
          <w:jc w:val="center"/>
        </w:trPr>
        <w:tc>
          <w:tcPr>
            <w:tcW w:w="1872" w:type="dxa"/>
            <w:gridSpan w:val="2"/>
            <w:vMerge w:val="continue"/>
            <w:tcBorders>
              <w:top w:val="nil"/>
              <w:bottom w:val="single" w:color="auto" w:sz="8" w:space="0"/>
              <w:right w:val="single" w:color="auto" w:sz="8" w:space="0"/>
            </w:tcBorders>
            <w:vAlign w:val="top"/>
          </w:tcPr>
          <w:p>
            <w:pPr>
              <w:pStyle w:val="13"/>
              <w:widowControl/>
              <w:rPr>
                <w:rFonts w:ascii="Times New Roman" w:eastAsia="宋体"/>
                <w:kern w:val="0"/>
                <w:sz w:val="18"/>
                <w:szCs w:val="18"/>
              </w:rPr>
            </w:pP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营业收入</w:t>
            </w:r>
            <w:r>
              <w:rPr>
                <w:rFonts w:ascii="Times New Roman" w:eastAsia="宋体"/>
                <w:kern w:val="0"/>
                <w:sz w:val="18"/>
                <w:szCs w:val="18"/>
              </w:rPr>
              <w:t>(Y)</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宋体" w:hAnsi="宋体" w:eastAsia="宋体" w:cs="宋体"/>
                <w:kern w:val="0"/>
                <w:sz w:val="18"/>
                <w:szCs w:val="18"/>
              </w:rPr>
              <w:t>≧</w:t>
            </w:r>
            <w:r>
              <w:rPr>
                <w:rFonts w:ascii="Times New Roman" w:eastAsia="宋体"/>
                <w:kern w:val="0"/>
                <w:sz w:val="18"/>
                <w:szCs w:val="18"/>
              </w:rPr>
              <w:t>10000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1000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50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1000</w:t>
            </w:r>
          </w:p>
        </w:tc>
        <w:tc>
          <w:tcPr>
            <w:tcW w:w="1103" w:type="dxa"/>
            <w:tcBorders>
              <w:top w:val="nil"/>
              <w:left w:val="nil"/>
              <w:bottom w:val="single" w:color="auto" w:sz="8"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50</w:t>
            </w:r>
          </w:p>
        </w:tc>
      </w:tr>
      <w:tr>
        <w:tblPrEx>
          <w:tblLayout w:type="fixed"/>
          <w:tblCellMar>
            <w:top w:w="0" w:type="dxa"/>
            <w:left w:w="108" w:type="dxa"/>
            <w:bottom w:w="0" w:type="dxa"/>
            <w:right w:w="108" w:type="dxa"/>
          </w:tblCellMar>
        </w:tblPrEx>
        <w:trPr>
          <w:trHeight w:val="501" w:hRule="atLeast"/>
          <w:jc w:val="center"/>
        </w:trPr>
        <w:tc>
          <w:tcPr>
            <w:tcW w:w="1872" w:type="dxa"/>
            <w:gridSpan w:val="2"/>
            <w:vMerge w:val="restart"/>
            <w:tcBorders>
              <w:top w:val="single" w:color="auto"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房地产开发经营</w:t>
            </w:r>
          </w:p>
        </w:tc>
        <w:tc>
          <w:tcPr>
            <w:tcW w:w="1103" w:type="dxa"/>
            <w:tcBorders>
              <w:top w:val="single" w:color="auto" w:sz="8" w:space="0"/>
              <w:left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营业收入</w:t>
            </w:r>
            <w:r>
              <w:rPr>
                <w:rFonts w:ascii="Times New Roman" w:eastAsia="宋体"/>
                <w:kern w:val="0"/>
                <w:sz w:val="18"/>
                <w:szCs w:val="18"/>
              </w:rPr>
              <w:t>(Y)</w:t>
            </w:r>
          </w:p>
        </w:tc>
        <w:tc>
          <w:tcPr>
            <w:tcW w:w="1103" w:type="dxa"/>
            <w:tcBorders>
              <w:top w:val="single" w:color="auto" w:sz="8" w:space="0"/>
              <w:left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single" w:color="auto" w:sz="8" w:space="0"/>
              <w:left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宋体" w:hAnsi="宋体" w:eastAsia="宋体" w:cs="宋体"/>
                <w:kern w:val="0"/>
                <w:sz w:val="18"/>
                <w:szCs w:val="18"/>
              </w:rPr>
              <w:t>≧</w:t>
            </w:r>
            <w:r>
              <w:rPr>
                <w:rFonts w:ascii="Times New Roman" w:eastAsia="宋体"/>
                <w:kern w:val="0"/>
                <w:sz w:val="18"/>
                <w:szCs w:val="18"/>
              </w:rPr>
              <w:t>200000</w:t>
            </w:r>
          </w:p>
        </w:tc>
        <w:tc>
          <w:tcPr>
            <w:tcW w:w="1103" w:type="dxa"/>
            <w:tcBorders>
              <w:top w:val="single" w:color="auto" w:sz="8" w:space="0"/>
              <w:left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1000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200000</w:t>
            </w:r>
          </w:p>
        </w:tc>
        <w:tc>
          <w:tcPr>
            <w:tcW w:w="1103" w:type="dxa"/>
            <w:tcBorders>
              <w:top w:val="single" w:color="auto" w:sz="8" w:space="0"/>
              <w:left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100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1000</w:t>
            </w:r>
          </w:p>
        </w:tc>
        <w:tc>
          <w:tcPr>
            <w:tcW w:w="1103" w:type="dxa"/>
            <w:tcBorders>
              <w:top w:val="single" w:color="auto" w:sz="8" w:space="0"/>
              <w:left w:val="nil"/>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w:t>
            </w:r>
          </w:p>
        </w:tc>
      </w:tr>
      <w:tr>
        <w:tblPrEx>
          <w:tblLayout w:type="fixed"/>
          <w:tblCellMar>
            <w:top w:w="0" w:type="dxa"/>
            <w:left w:w="108" w:type="dxa"/>
            <w:bottom w:w="0" w:type="dxa"/>
            <w:right w:w="108" w:type="dxa"/>
          </w:tblCellMar>
        </w:tblPrEx>
        <w:trPr>
          <w:gridBefore w:val="1"/>
          <w:wBefore w:w="6" w:type="dxa"/>
          <w:trHeight w:val="744" w:hRule="atLeast"/>
          <w:jc w:val="center"/>
        </w:trPr>
        <w:tc>
          <w:tcPr>
            <w:tcW w:w="1866" w:type="dxa"/>
            <w:vMerge w:val="continue"/>
            <w:tcBorders>
              <w:bottom w:val="single" w:color="000000" w:sz="8" w:space="0"/>
              <w:right w:val="single" w:color="auto" w:sz="8" w:space="0"/>
            </w:tcBorders>
            <w:vAlign w:val="top"/>
          </w:tcPr>
          <w:p>
            <w:pPr>
              <w:pStyle w:val="13"/>
              <w:widowControl/>
              <w:rPr>
                <w:rFonts w:ascii="Times New Roman" w:eastAsia="宋体"/>
                <w:kern w:val="0"/>
                <w:sz w:val="18"/>
                <w:szCs w:val="18"/>
              </w:rPr>
            </w:pPr>
          </w:p>
        </w:tc>
        <w:tc>
          <w:tcPr>
            <w:tcW w:w="1103" w:type="dxa"/>
            <w:tcBorders>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资产总额</w:t>
            </w:r>
            <w:r>
              <w:rPr>
                <w:rFonts w:ascii="Times New Roman" w:eastAsia="宋体"/>
                <w:kern w:val="0"/>
                <w:sz w:val="18"/>
                <w:szCs w:val="18"/>
              </w:rPr>
              <w:t>(Z)</w:t>
            </w:r>
          </w:p>
        </w:tc>
        <w:tc>
          <w:tcPr>
            <w:tcW w:w="1103" w:type="dxa"/>
            <w:tcBorders>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Z</w:t>
            </w:r>
            <w:r>
              <w:rPr>
                <w:rFonts w:hint="eastAsia" w:ascii="宋体" w:hAnsi="宋体" w:eastAsia="宋体" w:cs="宋体"/>
                <w:kern w:val="0"/>
                <w:sz w:val="18"/>
                <w:szCs w:val="18"/>
              </w:rPr>
              <w:t>≧</w:t>
            </w:r>
            <w:r>
              <w:rPr>
                <w:rFonts w:ascii="Times New Roman" w:eastAsia="宋体"/>
                <w:kern w:val="0"/>
                <w:sz w:val="18"/>
                <w:szCs w:val="18"/>
              </w:rPr>
              <w:t>10000</w:t>
            </w:r>
          </w:p>
        </w:tc>
        <w:tc>
          <w:tcPr>
            <w:tcW w:w="1103" w:type="dxa"/>
            <w:tcBorders>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5000=Z</w:t>
            </w:r>
            <w:r>
              <w:rPr>
                <w:rFonts w:hint="eastAsia" w:ascii="Times New Roman" w:eastAsia="宋体"/>
                <w:kern w:val="0"/>
                <w:sz w:val="18"/>
                <w:szCs w:val="18"/>
              </w:rPr>
              <w:t>＜</w:t>
            </w:r>
            <w:r>
              <w:rPr>
                <w:rFonts w:ascii="Times New Roman" w:eastAsia="宋体"/>
                <w:kern w:val="0"/>
                <w:sz w:val="18"/>
                <w:szCs w:val="18"/>
              </w:rPr>
              <w:t>10000</w:t>
            </w:r>
          </w:p>
        </w:tc>
        <w:tc>
          <w:tcPr>
            <w:tcW w:w="1103" w:type="dxa"/>
            <w:tcBorders>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2000</w:t>
            </w:r>
            <w:r>
              <w:rPr>
                <w:rFonts w:hint="eastAsia" w:ascii="宋体" w:hAnsi="宋体" w:eastAsia="宋体" w:cs="宋体"/>
                <w:kern w:val="0"/>
                <w:sz w:val="18"/>
                <w:szCs w:val="18"/>
              </w:rPr>
              <w:t>≦</w:t>
            </w:r>
            <w:r>
              <w:rPr>
                <w:rFonts w:ascii="Times New Roman" w:eastAsia="宋体"/>
                <w:kern w:val="0"/>
                <w:sz w:val="18"/>
                <w:szCs w:val="18"/>
              </w:rPr>
              <w:t>Z</w:t>
            </w:r>
            <w:r>
              <w:rPr>
                <w:rFonts w:hint="eastAsia" w:ascii="Times New Roman" w:eastAsia="宋体"/>
                <w:kern w:val="0"/>
                <w:sz w:val="18"/>
                <w:szCs w:val="18"/>
              </w:rPr>
              <w:t>＜</w:t>
            </w:r>
            <w:r>
              <w:rPr>
                <w:rFonts w:ascii="Times New Roman" w:eastAsia="宋体"/>
                <w:kern w:val="0"/>
                <w:sz w:val="18"/>
                <w:szCs w:val="18"/>
              </w:rPr>
              <w:t xml:space="preserve">5000   </w:t>
            </w:r>
          </w:p>
        </w:tc>
        <w:tc>
          <w:tcPr>
            <w:tcW w:w="1103" w:type="dxa"/>
            <w:tcBorders>
              <w:left w:val="nil"/>
              <w:bottom w:val="single" w:color="auto" w:sz="8"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Z</w:t>
            </w:r>
            <w:r>
              <w:rPr>
                <w:rFonts w:hint="eastAsia" w:ascii="Times New Roman" w:eastAsia="宋体"/>
                <w:kern w:val="0"/>
                <w:sz w:val="18"/>
                <w:szCs w:val="18"/>
              </w:rPr>
              <w:t>＜</w:t>
            </w:r>
            <w:r>
              <w:rPr>
                <w:rFonts w:ascii="Times New Roman" w:eastAsia="宋体"/>
                <w:kern w:val="0"/>
                <w:sz w:val="18"/>
                <w:szCs w:val="18"/>
              </w:rPr>
              <w:t>2000</w:t>
            </w:r>
          </w:p>
        </w:tc>
      </w:tr>
      <w:tr>
        <w:tblPrEx>
          <w:tblLayout w:type="fixed"/>
          <w:tblCellMar>
            <w:top w:w="0" w:type="dxa"/>
            <w:left w:w="108" w:type="dxa"/>
            <w:bottom w:w="0" w:type="dxa"/>
            <w:right w:w="108" w:type="dxa"/>
          </w:tblCellMar>
        </w:tblPrEx>
        <w:trPr>
          <w:gridBefore w:val="1"/>
          <w:wBefore w:w="6" w:type="dxa"/>
          <w:trHeight w:val="501" w:hRule="atLeast"/>
          <w:jc w:val="center"/>
        </w:trPr>
        <w:tc>
          <w:tcPr>
            <w:tcW w:w="1866" w:type="dxa"/>
            <w:vMerge w:val="restart"/>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物业管理</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从业人员</w:t>
            </w:r>
            <w:r>
              <w:rPr>
                <w:rFonts w:ascii="Times New Roman" w:eastAsia="宋体"/>
                <w:kern w:val="0"/>
                <w:sz w:val="18"/>
                <w:szCs w:val="18"/>
              </w:rPr>
              <w:t>(X)</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人</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宋体" w:hAnsi="宋体" w:eastAsia="宋体" w:cs="宋体"/>
                <w:kern w:val="0"/>
                <w:sz w:val="18"/>
                <w:szCs w:val="18"/>
              </w:rPr>
              <w:t>≧</w:t>
            </w:r>
            <w:r>
              <w:rPr>
                <w:rFonts w:ascii="Times New Roman" w:eastAsia="宋体"/>
                <w:kern w:val="0"/>
                <w:sz w:val="18"/>
                <w:szCs w:val="18"/>
              </w:rPr>
              <w:t>1000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300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100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 xml:space="preserve">300 </w:t>
            </w:r>
          </w:p>
        </w:tc>
        <w:tc>
          <w:tcPr>
            <w:tcW w:w="1103" w:type="dxa"/>
            <w:tcBorders>
              <w:top w:val="nil"/>
              <w:left w:val="nil"/>
              <w:bottom w:val="nil"/>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100</w:t>
            </w:r>
          </w:p>
        </w:tc>
      </w:tr>
      <w:tr>
        <w:tblPrEx>
          <w:tblLayout w:type="fixed"/>
          <w:tblCellMar>
            <w:top w:w="0" w:type="dxa"/>
            <w:left w:w="108" w:type="dxa"/>
            <w:bottom w:w="0" w:type="dxa"/>
            <w:right w:w="108" w:type="dxa"/>
          </w:tblCellMar>
        </w:tblPrEx>
        <w:trPr>
          <w:gridBefore w:val="1"/>
          <w:wBefore w:w="6" w:type="dxa"/>
          <w:trHeight w:val="728" w:hRule="atLeast"/>
          <w:jc w:val="center"/>
        </w:trPr>
        <w:tc>
          <w:tcPr>
            <w:tcW w:w="1866" w:type="dxa"/>
            <w:vMerge w:val="continue"/>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营业收入</w:t>
            </w:r>
            <w:r>
              <w:rPr>
                <w:rFonts w:ascii="Times New Roman" w:eastAsia="宋体"/>
                <w:kern w:val="0"/>
                <w:sz w:val="18"/>
                <w:szCs w:val="18"/>
              </w:rPr>
              <w:t>(Y)</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宋体" w:hAnsi="宋体" w:eastAsia="宋体" w:cs="宋体"/>
                <w:kern w:val="0"/>
                <w:sz w:val="18"/>
                <w:szCs w:val="18"/>
              </w:rPr>
              <w:t>≧</w:t>
            </w:r>
            <w:r>
              <w:rPr>
                <w:rFonts w:ascii="Times New Roman" w:eastAsia="宋体"/>
                <w:kern w:val="0"/>
                <w:sz w:val="18"/>
                <w:szCs w:val="18"/>
              </w:rPr>
              <w:t>5000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1000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 xml:space="preserve">5000 </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500</w:t>
            </w:r>
            <w:r>
              <w:rPr>
                <w:rFonts w:hint="eastAsia" w:ascii="宋体" w:hAnsi="宋体" w:eastAsia="宋体" w:cs="宋体"/>
                <w:kern w:val="0"/>
                <w:sz w:val="18"/>
                <w:szCs w:val="18"/>
              </w:rPr>
              <w:t>≦</w:t>
            </w: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1000</w:t>
            </w:r>
          </w:p>
        </w:tc>
        <w:tc>
          <w:tcPr>
            <w:tcW w:w="1103" w:type="dxa"/>
            <w:tcBorders>
              <w:top w:val="nil"/>
              <w:left w:val="nil"/>
              <w:bottom w:val="single" w:color="auto" w:sz="8"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Y</w:t>
            </w:r>
            <w:r>
              <w:rPr>
                <w:rFonts w:hint="eastAsia" w:ascii="Times New Roman" w:eastAsia="宋体"/>
                <w:kern w:val="0"/>
                <w:sz w:val="18"/>
                <w:szCs w:val="18"/>
              </w:rPr>
              <w:t>＜</w:t>
            </w:r>
            <w:r>
              <w:rPr>
                <w:rFonts w:ascii="Times New Roman" w:eastAsia="宋体"/>
                <w:kern w:val="0"/>
                <w:sz w:val="18"/>
                <w:szCs w:val="18"/>
              </w:rPr>
              <w:t>500</w:t>
            </w:r>
          </w:p>
        </w:tc>
      </w:tr>
      <w:tr>
        <w:tblPrEx>
          <w:tblLayout w:type="fixed"/>
          <w:tblCellMar>
            <w:top w:w="0" w:type="dxa"/>
            <w:left w:w="108" w:type="dxa"/>
            <w:bottom w:w="0" w:type="dxa"/>
            <w:right w:w="108" w:type="dxa"/>
          </w:tblCellMar>
        </w:tblPrEx>
        <w:trPr>
          <w:gridBefore w:val="1"/>
          <w:wBefore w:w="6" w:type="dxa"/>
          <w:trHeight w:val="317" w:hRule="atLeast"/>
          <w:jc w:val="center"/>
        </w:trPr>
        <w:tc>
          <w:tcPr>
            <w:tcW w:w="1866" w:type="dxa"/>
            <w:vMerge w:val="restart"/>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rPr>
              <w:t>租赁和商务服务业</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从业人员</w:t>
            </w:r>
            <w:r>
              <w:rPr>
                <w:rFonts w:ascii="Times New Roman" w:eastAsia="宋体"/>
                <w:kern w:val="0"/>
                <w:sz w:val="18"/>
                <w:szCs w:val="18"/>
              </w:rPr>
              <w:t>(X)</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人</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宋体" w:hAnsi="宋体" w:eastAsia="宋体" w:cs="宋体"/>
                <w:kern w:val="0"/>
                <w:sz w:val="18"/>
                <w:szCs w:val="18"/>
              </w:rPr>
              <w:t>≧</w:t>
            </w:r>
            <w:r>
              <w:rPr>
                <w:rFonts w:ascii="Times New Roman" w:eastAsia="宋体"/>
                <w:kern w:val="0"/>
                <w:sz w:val="18"/>
                <w:szCs w:val="18"/>
              </w:rPr>
              <w:t>300</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100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 xml:space="preserve">300 </w:t>
            </w:r>
          </w:p>
        </w:tc>
        <w:tc>
          <w:tcPr>
            <w:tcW w:w="1103" w:type="dxa"/>
            <w:tcBorders>
              <w:top w:val="nil"/>
              <w:left w:val="nil"/>
              <w:bottom w:val="nil"/>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10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100</w:t>
            </w:r>
          </w:p>
        </w:tc>
        <w:tc>
          <w:tcPr>
            <w:tcW w:w="1103" w:type="dxa"/>
            <w:tcBorders>
              <w:top w:val="nil"/>
              <w:left w:val="nil"/>
              <w:bottom w:val="nil"/>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w:t>
            </w:r>
          </w:p>
        </w:tc>
      </w:tr>
      <w:tr>
        <w:tblPrEx>
          <w:tblLayout w:type="fixed"/>
          <w:tblCellMar>
            <w:top w:w="0" w:type="dxa"/>
            <w:left w:w="108" w:type="dxa"/>
            <w:bottom w:w="0" w:type="dxa"/>
            <w:right w:w="108" w:type="dxa"/>
          </w:tblCellMar>
        </w:tblPrEx>
        <w:trPr>
          <w:gridBefore w:val="1"/>
          <w:wBefore w:w="6" w:type="dxa"/>
          <w:trHeight w:val="846" w:hRule="atLeast"/>
          <w:jc w:val="center"/>
        </w:trPr>
        <w:tc>
          <w:tcPr>
            <w:tcW w:w="1866" w:type="dxa"/>
            <w:vMerge w:val="continue"/>
            <w:tcBorders>
              <w:top w:val="nil"/>
              <w:bottom w:val="single" w:color="000000" w:sz="8" w:space="0"/>
              <w:right w:val="single" w:color="auto" w:sz="8" w:space="0"/>
            </w:tcBorders>
            <w:vAlign w:val="top"/>
          </w:tcPr>
          <w:p>
            <w:pPr>
              <w:pStyle w:val="13"/>
              <w:widowControl/>
              <w:rPr>
                <w:rFonts w:ascii="Times New Roman" w:eastAsia="宋体"/>
                <w:kern w:val="0"/>
                <w:sz w:val="18"/>
                <w:szCs w:val="18"/>
              </w:rPr>
            </w:pP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资产总额</w:t>
            </w:r>
            <w:r>
              <w:rPr>
                <w:rFonts w:ascii="Times New Roman" w:eastAsia="宋体"/>
                <w:kern w:val="0"/>
                <w:sz w:val="18"/>
                <w:szCs w:val="18"/>
              </w:rPr>
              <w:t>(Z)</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hint="eastAsia" w:ascii="Times New Roman" w:eastAsia="宋体"/>
                <w:kern w:val="0"/>
                <w:sz w:val="18"/>
                <w:szCs w:val="18"/>
              </w:rPr>
              <w:t>万元</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Z</w:t>
            </w:r>
            <w:r>
              <w:rPr>
                <w:rFonts w:hint="eastAsia" w:ascii="宋体" w:hAnsi="宋体" w:eastAsia="宋体" w:cs="宋体"/>
                <w:kern w:val="0"/>
                <w:sz w:val="18"/>
                <w:szCs w:val="18"/>
              </w:rPr>
              <w:t>≧</w:t>
            </w:r>
            <w:r>
              <w:rPr>
                <w:rFonts w:ascii="Times New Roman" w:eastAsia="宋体"/>
                <w:kern w:val="0"/>
                <w:sz w:val="18"/>
                <w:szCs w:val="18"/>
              </w:rPr>
              <w:t>120000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8000</w:t>
            </w:r>
            <w:r>
              <w:rPr>
                <w:rFonts w:hint="eastAsia" w:ascii="宋体" w:hAnsi="宋体" w:eastAsia="宋体" w:cs="宋体"/>
                <w:kern w:val="0"/>
                <w:sz w:val="18"/>
                <w:szCs w:val="18"/>
              </w:rPr>
              <w:t>≦</w:t>
            </w:r>
            <w:r>
              <w:rPr>
                <w:rFonts w:ascii="Times New Roman" w:eastAsia="宋体"/>
                <w:kern w:val="0"/>
                <w:sz w:val="18"/>
                <w:szCs w:val="18"/>
              </w:rPr>
              <w:t>Z</w:t>
            </w:r>
            <w:r>
              <w:rPr>
                <w:rFonts w:hint="eastAsia" w:ascii="Times New Roman" w:eastAsia="宋体"/>
                <w:kern w:val="0"/>
                <w:sz w:val="18"/>
                <w:szCs w:val="18"/>
              </w:rPr>
              <w:t>＜</w:t>
            </w:r>
            <w:r>
              <w:rPr>
                <w:rFonts w:ascii="Times New Roman" w:eastAsia="宋体"/>
                <w:kern w:val="0"/>
                <w:sz w:val="18"/>
                <w:szCs w:val="18"/>
              </w:rPr>
              <w:t>120000</w:t>
            </w:r>
          </w:p>
        </w:tc>
        <w:tc>
          <w:tcPr>
            <w:tcW w:w="1103" w:type="dxa"/>
            <w:tcBorders>
              <w:top w:val="nil"/>
              <w:left w:val="nil"/>
              <w:bottom w:val="single" w:color="auto" w:sz="8" w:space="0"/>
              <w:right w:val="single" w:color="auto" w:sz="8" w:space="0"/>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 xml:space="preserve"> 100</w:t>
            </w:r>
            <w:r>
              <w:rPr>
                <w:rFonts w:hint="eastAsia" w:ascii="宋体" w:hAnsi="宋体" w:eastAsia="宋体" w:cs="宋体"/>
                <w:kern w:val="0"/>
                <w:sz w:val="18"/>
                <w:szCs w:val="18"/>
              </w:rPr>
              <w:t>≦</w:t>
            </w:r>
            <w:r>
              <w:rPr>
                <w:rFonts w:ascii="Times New Roman" w:eastAsia="宋体"/>
                <w:kern w:val="0"/>
                <w:sz w:val="18"/>
                <w:szCs w:val="18"/>
              </w:rPr>
              <w:t>Z</w:t>
            </w:r>
            <w:r>
              <w:rPr>
                <w:rFonts w:hint="eastAsia" w:ascii="Times New Roman" w:eastAsia="宋体"/>
                <w:kern w:val="0"/>
                <w:sz w:val="18"/>
                <w:szCs w:val="18"/>
              </w:rPr>
              <w:t>＜</w:t>
            </w:r>
            <w:r>
              <w:rPr>
                <w:rFonts w:ascii="Times New Roman" w:eastAsia="宋体"/>
                <w:kern w:val="0"/>
                <w:sz w:val="18"/>
                <w:szCs w:val="18"/>
              </w:rPr>
              <w:t>8000</w:t>
            </w:r>
          </w:p>
        </w:tc>
        <w:tc>
          <w:tcPr>
            <w:tcW w:w="1103" w:type="dxa"/>
            <w:tcBorders>
              <w:top w:val="nil"/>
              <w:left w:val="nil"/>
              <w:bottom w:val="single" w:color="auto" w:sz="8" w:space="0"/>
              <w:right w:val="nil"/>
            </w:tcBorders>
            <w:vAlign w:val="bottom"/>
          </w:tcPr>
          <w:p>
            <w:pPr>
              <w:pStyle w:val="13"/>
              <w:widowControl/>
              <w:jc w:val="center"/>
              <w:rPr>
                <w:rFonts w:ascii="Times New Roman" w:eastAsia="宋体"/>
                <w:kern w:val="0"/>
                <w:sz w:val="18"/>
                <w:szCs w:val="18"/>
              </w:rPr>
            </w:pPr>
            <w:r>
              <w:rPr>
                <w:rFonts w:ascii="Times New Roman" w:eastAsia="宋体"/>
                <w:kern w:val="0"/>
                <w:sz w:val="18"/>
                <w:szCs w:val="18"/>
              </w:rPr>
              <w:t>Z</w:t>
            </w:r>
            <w:r>
              <w:rPr>
                <w:rFonts w:hint="eastAsia" w:ascii="Times New Roman" w:eastAsia="宋体"/>
                <w:kern w:val="0"/>
                <w:sz w:val="18"/>
                <w:szCs w:val="18"/>
              </w:rPr>
              <w:t>＜</w:t>
            </w:r>
            <w:r>
              <w:rPr>
                <w:rFonts w:ascii="Times New Roman" w:eastAsia="宋体"/>
                <w:kern w:val="0"/>
                <w:sz w:val="18"/>
                <w:szCs w:val="18"/>
              </w:rPr>
              <w:t>100</w:t>
            </w:r>
          </w:p>
        </w:tc>
      </w:tr>
      <w:tr>
        <w:tblPrEx>
          <w:tblLayout w:type="fixed"/>
          <w:tblCellMar>
            <w:top w:w="0" w:type="dxa"/>
            <w:left w:w="108" w:type="dxa"/>
            <w:bottom w:w="0" w:type="dxa"/>
            <w:right w:w="108" w:type="dxa"/>
          </w:tblCellMar>
        </w:tblPrEx>
        <w:trPr>
          <w:gridBefore w:val="1"/>
          <w:wBefore w:w="6" w:type="dxa"/>
          <w:trHeight w:val="2343" w:hRule="atLeast"/>
          <w:jc w:val="center"/>
        </w:trPr>
        <w:tc>
          <w:tcPr>
            <w:tcW w:w="1866" w:type="dxa"/>
            <w:tcBorders>
              <w:top w:val="nil"/>
              <w:bottom w:val="single" w:color="auto" w:sz="8" w:space="0"/>
              <w:right w:val="single" w:color="auto" w:sz="8" w:space="0"/>
            </w:tcBorders>
            <w:vAlign w:val="top"/>
          </w:tcPr>
          <w:p>
            <w:pPr>
              <w:pStyle w:val="13"/>
              <w:widowControl/>
              <w:rPr>
                <w:rFonts w:ascii="Times New Roman" w:eastAsia="宋体"/>
                <w:kern w:val="0"/>
                <w:sz w:val="18"/>
                <w:szCs w:val="18"/>
              </w:rPr>
            </w:pPr>
            <w:r>
              <w:rPr>
                <w:rFonts w:hint="eastAsia" w:ascii="Times New Roman" w:eastAsia="宋体"/>
                <w:kern w:val="0"/>
                <w:sz w:val="18"/>
                <w:szCs w:val="18"/>
                <w:lang w:eastAsia="zh-CN"/>
              </w:rPr>
              <w:t>科学研究和技术服务业，</w:t>
            </w:r>
            <w:r>
              <w:rPr>
                <w:rFonts w:hint="eastAsia" w:ascii="Times New Roman" w:eastAsia="宋体"/>
                <w:kern w:val="0"/>
                <w:sz w:val="18"/>
                <w:szCs w:val="18"/>
              </w:rPr>
              <w:t>水利、环境和公共设施管理业，居民服务、修理和其他服务业，</w:t>
            </w:r>
            <w:r>
              <w:rPr>
                <w:rFonts w:hint="eastAsia" w:ascii="Times New Roman" w:eastAsia="宋体"/>
                <w:kern w:val="0"/>
                <w:sz w:val="18"/>
                <w:szCs w:val="18"/>
                <w:lang w:eastAsia="zh-CN"/>
              </w:rPr>
              <w:t>社会工作，文化、体育和娱乐业，以及</w:t>
            </w:r>
            <w:r>
              <w:rPr>
                <w:rFonts w:hint="eastAsia" w:ascii="Times New Roman" w:eastAsia="宋体"/>
                <w:kern w:val="0"/>
                <w:sz w:val="18"/>
                <w:szCs w:val="18"/>
              </w:rPr>
              <w:t>房地产中介服务，其他</w:t>
            </w:r>
          </w:p>
        </w:tc>
        <w:tc>
          <w:tcPr>
            <w:tcW w:w="1103" w:type="dxa"/>
            <w:tcBorders>
              <w:top w:val="nil"/>
              <w:left w:val="nil"/>
              <w:bottom w:val="single" w:color="auto" w:sz="8" w:space="0"/>
              <w:right w:val="single" w:color="auto" w:sz="8" w:space="0"/>
            </w:tcBorders>
            <w:vAlign w:val="center"/>
          </w:tcPr>
          <w:p>
            <w:pPr>
              <w:pStyle w:val="13"/>
              <w:widowControl/>
              <w:jc w:val="center"/>
              <w:rPr>
                <w:rFonts w:ascii="Times New Roman" w:eastAsia="宋体"/>
                <w:kern w:val="0"/>
                <w:sz w:val="18"/>
                <w:szCs w:val="18"/>
              </w:rPr>
            </w:pPr>
            <w:r>
              <w:rPr>
                <w:rFonts w:hint="eastAsia" w:ascii="Times New Roman" w:eastAsia="宋体"/>
                <w:kern w:val="0"/>
                <w:sz w:val="18"/>
                <w:szCs w:val="18"/>
              </w:rPr>
              <w:t>从业人员</w:t>
            </w:r>
            <w:r>
              <w:rPr>
                <w:rFonts w:ascii="Times New Roman" w:eastAsia="宋体"/>
                <w:kern w:val="0"/>
                <w:sz w:val="18"/>
                <w:szCs w:val="18"/>
              </w:rPr>
              <w:t>(X)</w:t>
            </w:r>
          </w:p>
        </w:tc>
        <w:tc>
          <w:tcPr>
            <w:tcW w:w="1103" w:type="dxa"/>
            <w:tcBorders>
              <w:top w:val="nil"/>
              <w:left w:val="nil"/>
              <w:bottom w:val="single" w:color="auto" w:sz="8" w:space="0"/>
              <w:right w:val="single" w:color="auto" w:sz="8" w:space="0"/>
            </w:tcBorders>
            <w:vAlign w:val="center"/>
          </w:tcPr>
          <w:p>
            <w:pPr>
              <w:pStyle w:val="13"/>
              <w:widowControl/>
              <w:jc w:val="center"/>
              <w:rPr>
                <w:rFonts w:ascii="Times New Roman" w:eastAsia="宋体"/>
                <w:kern w:val="0"/>
                <w:sz w:val="18"/>
                <w:szCs w:val="18"/>
              </w:rPr>
            </w:pPr>
          </w:p>
          <w:p>
            <w:pPr>
              <w:pStyle w:val="13"/>
              <w:widowControl/>
              <w:jc w:val="center"/>
              <w:rPr>
                <w:rFonts w:ascii="Times New Roman" w:eastAsia="宋体"/>
                <w:kern w:val="0"/>
                <w:sz w:val="18"/>
                <w:szCs w:val="18"/>
              </w:rPr>
            </w:pPr>
            <w:r>
              <w:rPr>
                <w:rFonts w:hint="eastAsia" w:ascii="Times New Roman" w:eastAsia="宋体"/>
                <w:kern w:val="0"/>
                <w:sz w:val="18"/>
                <w:szCs w:val="18"/>
              </w:rPr>
              <w:t>人</w:t>
            </w:r>
          </w:p>
        </w:tc>
        <w:tc>
          <w:tcPr>
            <w:tcW w:w="1103" w:type="dxa"/>
            <w:tcBorders>
              <w:top w:val="nil"/>
              <w:left w:val="nil"/>
              <w:bottom w:val="single" w:color="auto" w:sz="8" w:space="0"/>
              <w:right w:val="single" w:color="auto" w:sz="8" w:space="0"/>
            </w:tcBorders>
            <w:vAlign w:val="center"/>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宋体" w:hAnsi="宋体" w:eastAsia="宋体" w:cs="宋体"/>
                <w:kern w:val="0"/>
                <w:sz w:val="18"/>
                <w:szCs w:val="18"/>
              </w:rPr>
              <w:t>≧</w:t>
            </w:r>
            <w:r>
              <w:rPr>
                <w:rFonts w:ascii="Times New Roman" w:eastAsia="宋体"/>
                <w:kern w:val="0"/>
                <w:sz w:val="18"/>
                <w:szCs w:val="18"/>
              </w:rPr>
              <w:t>300</w:t>
            </w:r>
          </w:p>
        </w:tc>
        <w:tc>
          <w:tcPr>
            <w:tcW w:w="1103" w:type="dxa"/>
            <w:tcBorders>
              <w:top w:val="nil"/>
              <w:left w:val="nil"/>
              <w:bottom w:val="single" w:color="auto" w:sz="8" w:space="0"/>
              <w:right w:val="single" w:color="auto" w:sz="8" w:space="0"/>
            </w:tcBorders>
            <w:vAlign w:val="center"/>
          </w:tcPr>
          <w:p>
            <w:pPr>
              <w:pStyle w:val="13"/>
              <w:widowControl/>
              <w:jc w:val="center"/>
              <w:rPr>
                <w:rFonts w:ascii="Times New Roman" w:eastAsia="宋体"/>
                <w:kern w:val="0"/>
                <w:sz w:val="18"/>
                <w:szCs w:val="18"/>
              </w:rPr>
            </w:pPr>
            <w:r>
              <w:rPr>
                <w:rFonts w:ascii="Times New Roman" w:eastAsia="宋体"/>
                <w:kern w:val="0"/>
                <w:sz w:val="18"/>
                <w:szCs w:val="18"/>
              </w:rPr>
              <w:t>100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300</w:t>
            </w:r>
          </w:p>
        </w:tc>
        <w:tc>
          <w:tcPr>
            <w:tcW w:w="1103" w:type="dxa"/>
            <w:tcBorders>
              <w:top w:val="nil"/>
              <w:left w:val="nil"/>
              <w:bottom w:val="single" w:color="auto" w:sz="8" w:space="0"/>
              <w:right w:val="single" w:color="auto" w:sz="8" w:space="0"/>
            </w:tcBorders>
            <w:vAlign w:val="center"/>
          </w:tcPr>
          <w:p>
            <w:pPr>
              <w:pStyle w:val="13"/>
              <w:widowControl/>
              <w:jc w:val="center"/>
              <w:rPr>
                <w:rFonts w:ascii="Times New Roman" w:eastAsia="宋体"/>
                <w:kern w:val="0"/>
                <w:sz w:val="18"/>
                <w:szCs w:val="18"/>
              </w:rPr>
            </w:pPr>
            <w:r>
              <w:rPr>
                <w:rFonts w:ascii="Times New Roman" w:eastAsia="宋体"/>
                <w:kern w:val="0"/>
                <w:sz w:val="18"/>
                <w:szCs w:val="18"/>
              </w:rPr>
              <w:t>10</w:t>
            </w:r>
            <w:r>
              <w:rPr>
                <w:rFonts w:hint="eastAsia" w:ascii="宋体" w:hAnsi="宋体" w:eastAsia="宋体" w:cs="宋体"/>
                <w:kern w:val="0"/>
                <w:sz w:val="18"/>
                <w:szCs w:val="18"/>
              </w:rPr>
              <w:t>≦</w:t>
            </w: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100</w:t>
            </w:r>
          </w:p>
        </w:tc>
        <w:tc>
          <w:tcPr>
            <w:tcW w:w="1103" w:type="dxa"/>
            <w:tcBorders>
              <w:top w:val="nil"/>
              <w:left w:val="nil"/>
              <w:bottom w:val="single" w:color="auto" w:sz="8" w:space="0"/>
              <w:right w:val="nil"/>
            </w:tcBorders>
            <w:vAlign w:val="center"/>
          </w:tcPr>
          <w:p>
            <w:pPr>
              <w:pStyle w:val="13"/>
              <w:widowControl/>
              <w:jc w:val="center"/>
              <w:rPr>
                <w:rFonts w:ascii="Times New Roman" w:eastAsia="宋体"/>
                <w:kern w:val="0"/>
                <w:sz w:val="18"/>
                <w:szCs w:val="18"/>
              </w:rPr>
            </w:pPr>
            <w:r>
              <w:rPr>
                <w:rFonts w:ascii="Times New Roman" w:eastAsia="宋体"/>
                <w:kern w:val="0"/>
                <w:sz w:val="18"/>
                <w:szCs w:val="18"/>
              </w:rPr>
              <w:t>X</w:t>
            </w:r>
            <w:r>
              <w:rPr>
                <w:rFonts w:hint="eastAsia" w:ascii="Times New Roman" w:eastAsia="宋体"/>
                <w:kern w:val="0"/>
                <w:sz w:val="18"/>
                <w:szCs w:val="18"/>
              </w:rPr>
              <w:t>＜</w:t>
            </w:r>
            <w:r>
              <w:rPr>
                <w:rFonts w:ascii="Times New Roman" w:eastAsia="宋体"/>
                <w:kern w:val="0"/>
                <w:sz w:val="18"/>
                <w:szCs w:val="18"/>
              </w:rPr>
              <w:t>10</w:t>
            </w:r>
          </w:p>
        </w:tc>
      </w:tr>
    </w:tbl>
    <w:p>
      <w:pPr>
        <w:pStyle w:val="13"/>
        <w:adjustRightInd w:val="0"/>
        <w:spacing w:line="400" w:lineRule="exact"/>
        <w:jc w:val="center"/>
        <w:rPr>
          <w:rFonts w:hint="eastAsia" w:ascii="Times New Roman" w:eastAsia="宋体"/>
          <w:b/>
          <w:color w:val="000000"/>
        </w:rPr>
      </w:pPr>
    </w:p>
    <w:p>
      <w:pPr>
        <w:pStyle w:val="13"/>
        <w:adjustRightInd w:val="0"/>
        <w:spacing w:line="400" w:lineRule="exact"/>
        <w:jc w:val="center"/>
        <w:rPr>
          <w:rFonts w:ascii="Times New Roman" w:eastAsia="宋体"/>
          <w:b/>
          <w:color w:val="000000"/>
        </w:rPr>
      </w:pPr>
      <w:r>
        <w:rPr>
          <w:rFonts w:hint="eastAsia" w:ascii="Times New Roman" w:eastAsia="宋体"/>
          <w:b/>
          <w:color w:val="000000"/>
        </w:rPr>
        <w:t>金融业企业划型标准</w:t>
      </w:r>
    </w:p>
    <w:p/>
    <w:tbl>
      <w:tblPr>
        <w:tblStyle w:val="7"/>
        <w:tblpPr w:leftFromText="180" w:rightFromText="180" w:vertAnchor="text" w:horzAnchor="page" w:tblpX="2260" w:tblpY="132"/>
        <w:tblOverlap w:val="never"/>
        <w:tblW w:w="7733" w:type="dxa"/>
        <w:tblInd w:w="0" w:type="dxa"/>
        <w:tblLayout w:type="fixed"/>
        <w:tblCellMar>
          <w:top w:w="0" w:type="dxa"/>
          <w:left w:w="108" w:type="dxa"/>
          <w:bottom w:w="0" w:type="dxa"/>
          <w:right w:w="108" w:type="dxa"/>
        </w:tblCellMar>
      </w:tblPr>
      <w:tblGrid>
        <w:gridCol w:w="1276"/>
        <w:gridCol w:w="1134"/>
        <w:gridCol w:w="1843"/>
        <w:gridCol w:w="709"/>
        <w:gridCol w:w="2771"/>
      </w:tblGrid>
      <w:tr>
        <w:tblPrEx>
          <w:tblLayout w:type="fixed"/>
          <w:tblCellMar>
            <w:top w:w="0" w:type="dxa"/>
            <w:left w:w="108" w:type="dxa"/>
            <w:bottom w:w="0" w:type="dxa"/>
            <w:right w:w="108" w:type="dxa"/>
          </w:tblCellMar>
        </w:tblPrEx>
        <w:trPr>
          <w:trHeight w:val="270" w:hRule="atLeast"/>
        </w:trPr>
        <w:tc>
          <w:tcPr>
            <w:tcW w:w="2410" w:type="dxa"/>
            <w:gridSpan w:val="2"/>
            <w:tcBorders>
              <w:top w:val="single" w:color="auto" w:sz="4" w:space="0"/>
              <w:left w:val="nil"/>
              <w:bottom w:val="single" w:color="auto" w:sz="4" w:space="0"/>
              <w:right w:val="single" w:color="auto" w:sz="4" w:space="0"/>
            </w:tcBorders>
            <w:vAlign w:val="center"/>
          </w:tcPr>
          <w:p>
            <w:pPr>
              <w:widowControl/>
              <w:ind w:firstLine="360"/>
              <w:jc w:val="left"/>
              <w:rPr>
                <w:color w:val="000000"/>
                <w:kern w:val="0"/>
                <w:sz w:val="18"/>
                <w:szCs w:val="18"/>
              </w:rPr>
            </w:pPr>
            <w:r>
              <w:rPr>
                <w:rFonts w:hint="eastAsia"/>
                <w:color w:val="000000"/>
                <w:kern w:val="0"/>
                <w:sz w:val="18"/>
                <w:szCs w:val="18"/>
              </w:rPr>
              <w:t>行业</w:t>
            </w:r>
          </w:p>
        </w:tc>
        <w:tc>
          <w:tcPr>
            <w:tcW w:w="1843" w:type="dxa"/>
            <w:tcBorders>
              <w:top w:val="single" w:color="auto" w:sz="4" w:space="0"/>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类别</w:t>
            </w:r>
          </w:p>
        </w:tc>
        <w:tc>
          <w:tcPr>
            <w:tcW w:w="709" w:type="dxa"/>
            <w:tcBorders>
              <w:top w:val="single" w:color="auto" w:sz="4" w:space="0"/>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类型</w:t>
            </w:r>
          </w:p>
        </w:tc>
        <w:tc>
          <w:tcPr>
            <w:tcW w:w="2771" w:type="dxa"/>
            <w:tcBorders>
              <w:top w:val="single" w:color="auto" w:sz="4" w:space="0"/>
              <w:left w:val="nil"/>
              <w:bottom w:val="single" w:color="auto" w:sz="4" w:space="0"/>
              <w:right w:val="nil"/>
            </w:tcBorders>
            <w:vAlign w:val="center"/>
          </w:tcPr>
          <w:p>
            <w:pPr>
              <w:widowControl/>
              <w:jc w:val="left"/>
              <w:rPr>
                <w:color w:val="000000"/>
                <w:kern w:val="0"/>
                <w:sz w:val="18"/>
                <w:szCs w:val="18"/>
              </w:rPr>
            </w:pPr>
            <w:r>
              <w:rPr>
                <w:rFonts w:hint="eastAsia"/>
                <w:color w:val="000000"/>
                <w:kern w:val="0"/>
                <w:sz w:val="18"/>
                <w:szCs w:val="18"/>
              </w:rPr>
              <w:t>资产总额</w:t>
            </w:r>
          </w:p>
        </w:tc>
      </w:tr>
      <w:tr>
        <w:tblPrEx>
          <w:tblLayout w:type="fixed"/>
          <w:tblCellMar>
            <w:top w:w="0" w:type="dxa"/>
            <w:left w:w="108" w:type="dxa"/>
            <w:bottom w:w="0" w:type="dxa"/>
            <w:right w:w="108" w:type="dxa"/>
          </w:tblCellMar>
        </w:tblPrEx>
        <w:trPr>
          <w:trHeight w:val="270" w:hRule="atLeast"/>
        </w:trPr>
        <w:tc>
          <w:tcPr>
            <w:tcW w:w="1276" w:type="dxa"/>
            <w:vMerge w:val="restart"/>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货币金融服务</w:t>
            </w:r>
          </w:p>
        </w:tc>
        <w:tc>
          <w:tcPr>
            <w:tcW w:w="1134" w:type="dxa"/>
            <w:vMerge w:val="restart"/>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货币银行服务</w:t>
            </w:r>
          </w:p>
        </w:tc>
        <w:tc>
          <w:tcPr>
            <w:tcW w:w="1843" w:type="dxa"/>
            <w:vMerge w:val="restart"/>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银行业存款类金融机构</w:t>
            </w: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中型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5000</w:t>
            </w:r>
            <w:r>
              <w:rPr>
                <w:rFonts w:hint="eastAsia"/>
                <w:color w:val="000000"/>
                <w:kern w:val="0"/>
                <w:sz w:val="18"/>
                <w:szCs w:val="18"/>
              </w:rPr>
              <w:t>亿元（含）至</w:t>
            </w:r>
            <w:r>
              <w:rPr>
                <w:color w:val="000000"/>
                <w:kern w:val="0"/>
                <w:sz w:val="18"/>
                <w:szCs w:val="18"/>
              </w:rPr>
              <w:t>40000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小型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50</w:t>
            </w:r>
            <w:r>
              <w:rPr>
                <w:rFonts w:hint="eastAsia"/>
                <w:color w:val="000000"/>
                <w:kern w:val="0"/>
                <w:sz w:val="18"/>
                <w:szCs w:val="18"/>
              </w:rPr>
              <w:t>亿元（含）至</w:t>
            </w:r>
            <w:r>
              <w:rPr>
                <w:color w:val="000000"/>
                <w:kern w:val="0"/>
                <w:sz w:val="18"/>
                <w:szCs w:val="18"/>
              </w:rPr>
              <w:t>5000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微型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50</w:t>
            </w:r>
            <w:r>
              <w:rPr>
                <w:rFonts w:hint="eastAsia"/>
                <w:color w:val="000000"/>
                <w:kern w:val="0"/>
                <w:sz w:val="18"/>
                <w:szCs w:val="18"/>
              </w:rPr>
              <w:t>亿元以下</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restart"/>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非货币银行服务</w:t>
            </w:r>
          </w:p>
        </w:tc>
        <w:tc>
          <w:tcPr>
            <w:tcW w:w="1843" w:type="dxa"/>
            <w:vMerge w:val="restart"/>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银行业非存款类金融机构</w:t>
            </w: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中型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200</w:t>
            </w:r>
            <w:r>
              <w:rPr>
                <w:rFonts w:hint="eastAsia"/>
                <w:color w:val="000000"/>
                <w:kern w:val="0"/>
                <w:sz w:val="18"/>
                <w:szCs w:val="18"/>
              </w:rPr>
              <w:t>亿元（含）至</w:t>
            </w:r>
            <w:r>
              <w:rPr>
                <w:color w:val="000000"/>
                <w:kern w:val="0"/>
                <w:sz w:val="18"/>
                <w:szCs w:val="18"/>
              </w:rPr>
              <w:t>1000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小型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50</w:t>
            </w:r>
            <w:r>
              <w:rPr>
                <w:rFonts w:hint="eastAsia"/>
                <w:color w:val="000000"/>
                <w:kern w:val="0"/>
                <w:sz w:val="18"/>
                <w:szCs w:val="18"/>
              </w:rPr>
              <w:t>亿元（含）</w:t>
            </w:r>
            <w:r>
              <w:rPr>
                <w:color w:val="000000"/>
                <w:kern w:val="0"/>
                <w:sz w:val="18"/>
                <w:szCs w:val="18"/>
              </w:rPr>
              <w:t>200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微型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50</w:t>
            </w:r>
            <w:r>
              <w:rPr>
                <w:rFonts w:hint="eastAsia"/>
                <w:color w:val="000000"/>
                <w:kern w:val="0"/>
                <w:sz w:val="18"/>
                <w:szCs w:val="18"/>
              </w:rPr>
              <w:t>亿元以下</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843" w:type="dxa"/>
            <w:vMerge w:val="restart"/>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贷款公司、小额贷款公司及典当行</w:t>
            </w: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中型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200</w:t>
            </w:r>
            <w:r>
              <w:rPr>
                <w:rFonts w:hint="eastAsia"/>
                <w:color w:val="000000"/>
                <w:kern w:val="0"/>
                <w:sz w:val="18"/>
                <w:szCs w:val="18"/>
              </w:rPr>
              <w:t>亿元（含）至</w:t>
            </w:r>
            <w:r>
              <w:rPr>
                <w:color w:val="000000"/>
                <w:kern w:val="0"/>
                <w:sz w:val="18"/>
                <w:szCs w:val="18"/>
              </w:rPr>
              <w:t>1000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小型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50</w:t>
            </w:r>
            <w:r>
              <w:rPr>
                <w:rFonts w:hint="eastAsia"/>
                <w:color w:val="000000"/>
                <w:kern w:val="0"/>
                <w:sz w:val="18"/>
                <w:szCs w:val="18"/>
              </w:rPr>
              <w:t>亿元（含）至</w:t>
            </w:r>
            <w:r>
              <w:rPr>
                <w:color w:val="000000"/>
                <w:kern w:val="0"/>
                <w:sz w:val="18"/>
                <w:szCs w:val="18"/>
              </w:rPr>
              <w:t>200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微型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50</w:t>
            </w:r>
            <w:r>
              <w:rPr>
                <w:rFonts w:hint="eastAsia"/>
                <w:color w:val="000000"/>
                <w:kern w:val="0"/>
                <w:sz w:val="18"/>
                <w:szCs w:val="18"/>
              </w:rPr>
              <w:t>亿元以下</w:t>
            </w:r>
          </w:p>
        </w:tc>
      </w:tr>
      <w:tr>
        <w:tblPrEx>
          <w:tblLayout w:type="fixed"/>
          <w:tblCellMar>
            <w:top w:w="0" w:type="dxa"/>
            <w:left w:w="108" w:type="dxa"/>
            <w:bottom w:w="0" w:type="dxa"/>
            <w:right w:w="108" w:type="dxa"/>
          </w:tblCellMar>
        </w:tblPrEx>
        <w:trPr>
          <w:trHeight w:val="270" w:hRule="atLeast"/>
        </w:trPr>
        <w:tc>
          <w:tcPr>
            <w:tcW w:w="2410" w:type="dxa"/>
            <w:gridSpan w:val="2"/>
            <w:vMerge w:val="restart"/>
            <w:tcBorders>
              <w:top w:val="single" w:color="auto" w:sz="4" w:space="0"/>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资本市场服务</w:t>
            </w:r>
          </w:p>
        </w:tc>
        <w:tc>
          <w:tcPr>
            <w:tcW w:w="1843" w:type="dxa"/>
            <w:vMerge w:val="restart"/>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证券业金融机构</w:t>
            </w: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中型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100</w:t>
            </w:r>
            <w:r>
              <w:rPr>
                <w:rFonts w:hint="eastAsia"/>
                <w:color w:val="000000"/>
                <w:kern w:val="0"/>
                <w:sz w:val="18"/>
                <w:szCs w:val="18"/>
              </w:rPr>
              <w:t>亿元（含）至</w:t>
            </w:r>
            <w:r>
              <w:rPr>
                <w:color w:val="000000"/>
                <w:kern w:val="0"/>
                <w:sz w:val="18"/>
                <w:szCs w:val="18"/>
              </w:rPr>
              <w:t>1000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2410" w:type="dxa"/>
            <w:gridSpan w:val="2"/>
            <w:vMerge w:val="continue"/>
            <w:tcBorders>
              <w:top w:val="single" w:color="auto" w:sz="4" w:space="0"/>
              <w:left w:val="nil"/>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小型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10</w:t>
            </w:r>
            <w:r>
              <w:rPr>
                <w:rFonts w:hint="eastAsia"/>
                <w:color w:val="000000"/>
                <w:kern w:val="0"/>
                <w:sz w:val="18"/>
                <w:szCs w:val="18"/>
              </w:rPr>
              <w:t>亿元（含）</w:t>
            </w:r>
            <w:r>
              <w:rPr>
                <w:color w:val="000000"/>
                <w:kern w:val="0"/>
                <w:sz w:val="18"/>
                <w:szCs w:val="18"/>
              </w:rPr>
              <w:t>100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2410" w:type="dxa"/>
            <w:gridSpan w:val="2"/>
            <w:vMerge w:val="continue"/>
            <w:tcBorders>
              <w:top w:val="single" w:color="auto" w:sz="4" w:space="0"/>
              <w:left w:val="nil"/>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微型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10</w:t>
            </w:r>
            <w:r>
              <w:rPr>
                <w:rFonts w:hint="eastAsia"/>
                <w:color w:val="000000"/>
                <w:kern w:val="0"/>
                <w:sz w:val="18"/>
                <w:szCs w:val="18"/>
              </w:rPr>
              <w:t>亿元以下</w:t>
            </w:r>
          </w:p>
        </w:tc>
      </w:tr>
      <w:tr>
        <w:tblPrEx>
          <w:tblLayout w:type="fixed"/>
          <w:tblCellMar>
            <w:top w:w="0" w:type="dxa"/>
            <w:left w:w="108" w:type="dxa"/>
            <w:bottom w:w="0" w:type="dxa"/>
            <w:right w:w="108" w:type="dxa"/>
          </w:tblCellMar>
        </w:tblPrEx>
        <w:trPr>
          <w:trHeight w:val="270" w:hRule="atLeast"/>
        </w:trPr>
        <w:tc>
          <w:tcPr>
            <w:tcW w:w="2410" w:type="dxa"/>
            <w:gridSpan w:val="2"/>
            <w:vMerge w:val="restart"/>
            <w:tcBorders>
              <w:top w:val="single" w:color="auto" w:sz="4" w:space="0"/>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保险业</w:t>
            </w:r>
          </w:p>
        </w:tc>
        <w:tc>
          <w:tcPr>
            <w:tcW w:w="1843" w:type="dxa"/>
            <w:vMerge w:val="restart"/>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保险业金融机构</w:t>
            </w: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中型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400</w:t>
            </w:r>
            <w:r>
              <w:rPr>
                <w:rFonts w:hint="eastAsia"/>
                <w:color w:val="000000"/>
                <w:kern w:val="0"/>
                <w:sz w:val="18"/>
                <w:szCs w:val="18"/>
              </w:rPr>
              <w:t>亿元（含）至</w:t>
            </w:r>
            <w:r>
              <w:rPr>
                <w:color w:val="000000"/>
                <w:kern w:val="0"/>
                <w:sz w:val="18"/>
                <w:szCs w:val="18"/>
              </w:rPr>
              <w:t>5000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2410" w:type="dxa"/>
            <w:gridSpan w:val="2"/>
            <w:vMerge w:val="continue"/>
            <w:tcBorders>
              <w:top w:val="single" w:color="auto" w:sz="4" w:space="0"/>
              <w:left w:val="nil"/>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小型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20</w:t>
            </w:r>
            <w:r>
              <w:rPr>
                <w:rFonts w:hint="eastAsia"/>
                <w:color w:val="000000"/>
                <w:kern w:val="0"/>
                <w:sz w:val="18"/>
                <w:szCs w:val="18"/>
              </w:rPr>
              <w:t>亿元（含）至</w:t>
            </w:r>
            <w:r>
              <w:rPr>
                <w:color w:val="000000"/>
                <w:kern w:val="0"/>
                <w:sz w:val="18"/>
                <w:szCs w:val="18"/>
              </w:rPr>
              <w:t>400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2410" w:type="dxa"/>
            <w:gridSpan w:val="2"/>
            <w:vMerge w:val="continue"/>
            <w:tcBorders>
              <w:top w:val="single" w:color="auto" w:sz="4" w:space="0"/>
              <w:left w:val="nil"/>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微型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20</w:t>
            </w:r>
            <w:r>
              <w:rPr>
                <w:rFonts w:hint="eastAsia"/>
                <w:color w:val="000000"/>
                <w:kern w:val="0"/>
                <w:sz w:val="18"/>
                <w:szCs w:val="18"/>
              </w:rPr>
              <w:t>亿元以下</w:t>
            </w:r>
          </w:p>
        </w:tc>
      </w:tr>
      <w:tr>
        <w:tblPrEx>
          <w:tblLayout w:type="fixed"/>
          <w:tblCellMar>
            <w:top w:w="0" w:type="dxa"/>
            <w:left w:w="108" w:type="dxa"/>
            <w:bottom w:w="0" w:type="dxa"/>
            <w:right w:w="108" w:type="dxa"/>
          </w:tblCellMar>
        </w:tblPrEx>
        <w:trPr>
          <w:trHeight w:val="270" w:hRule="atLeast"/>
        </w:trPr>
        <w:tc>
          <w:tcPr>
            <w:tcW w:w="1276" w:type="dxa"/>
            <w:vMerge w:val="restart"/>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其他金融业</w:t>
            </w:r>
          </w:p>
        </w:tc>
        <w:tc>
          <w:tcPr>
            <w:tcW w:w="1134" w:type="dxa"/>
            <w:vMerge w:val="restart"/>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金融信托与管理服务</w:t>
            </w:r>
          </w:p>
        </w:tc>
        <w:tc>
          <w:tcPr>
            <w:tcW w:w="1843" w:type="dxa"/>
            <w:vMerge w:val="restart"/>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信托公司</w:t>
            </w: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中型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400</w:t>
            </w:r>
            <w:r>
              <w:rPr>
                <w:rFonts w:hint="eastAsia"/>
                <w:color w:val="000000"/>
                <w:kern w:val="0"/>
                <w:sz w:val="18"/>
                <w:szCs w:val="18"/>
              </w:rPr>
              <w:t>亿元（含）至</w:t>
            </w:r>
            <w:r>
              <w:rPr>
                <w:color w:val="000000"/>
                <w:kern w:val="0"/>
                <w:sz w:val="18"/>
                <w:szCs w:val="18"/>
              </w:rPr>
              <w:t>1000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小型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20</w:t>
            </w:r>
            <w:r>
              <w:rPr>
                <w:rFonts w:hint="eastAsia"/>
                <w:color w:val="000000"/>
                <w:kern w:val="0"/>
                <w:sz w:val="18"/>
                <w:szCs w:val="18"/>
              </w:rPr>
              <w:t>亿元（含）至</w:t>
            </w:r>
            <w:r>
              <w:rPr>
                <w:color w:val="000000"/>
                <w:kern w:val="0"/>
                <w:sz w:val="18"/>
                <w:szCs w:val="18"/>
              </w:rPr>
              <w:t>400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微型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20</w:t>
            </w:r>
            <w:r>
              <w:rPr>
                <w:rFonts w:hint="eastAsia"/>
                <w:color w:val="000000"/>
                <w:kern w:val="0"/>
                <w:sz w:val="18"/>
                <w:szCs w:val="18"/>
              </w:rPr>
              <w:t>亿元以下</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restart"/>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控股公司服务</w:t>
            </w:r>
          </w:p>
        </w:tc>
        <w:tc>
          <w:tcPr>
            <w:tcW w:w="1843" w:type="dxa"/>
            <w:vMerge w:val="restart"/>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金融控股公司</w:t>
            </w: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中型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5000</w:t>
            </w:r>
            <w:r>
              <w:rPr>
                <w:rFonts w:hint="eastAsia"/>
                <w:color w:val="000000"/>
                <w:kern w:val="0"/>
                <w:sz w:val="18"/>
                <w:szCs w:val="18"/>
              </w:rPr>
              <w:t>亿元（含）至</w:t>
            </w:r>
            <w:r>
              <w:rPr>
                <w:color w:val="000000"/>
                <w:kern w:val="0"/>
                <w:sz w:val="18"/>
                <w:szCs w:val="18"/>
              </w:rPr>
              <w:t>40000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小型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50</w:t>
            </w:r>
            <w:r>
              <w:rPr>
                <w:rFonts w:hint="eastAsia"/>
                <w:color w:val="000000"/>
                <w:kern w:val="0"/>
                <w:sz w:val="18"/>
                <w:szCs w:val="18"/>
              </w:rPr>
              <w:t>亿元（含）至</w:t>
            </w:r>
            <w:r>
              <w:rPr>
                <w:color w:val="000000"/>
                <w:kern w:val="0"/>
                <w:sz w:val="18"/>
                <w:szCs w:val="18"/>
              </w:rPr>
              <w:t>5000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微型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50</w:t>
            </w:r>
            <w:r>
              <w:rPr>
                <w:rFonts w:hint="eastAsia"/>
                <w:color w:val="000000"/>
                <w:kern w:val="0"/>
                <w:sz w:val="18"/>
                <w:szCs w:val="18"/>
              </w:rPr>
              <w:t>亿元以下</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restart"/>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其他未包括的金融业</w:t>
            </w:r>
          </w:p>
        </w:tc>
        <w:tc>
          <w:tcPr>
            <w:tcW w:w="1843" w:type="dxa"/>
            <w:vMerge w:val="restart"/>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除贷款公司、小额贷款公司、典当行以外的其他金融机构</w:t>
            </w: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中型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200</w:t>
            </w:r>
            <w:r>
              <w:rPr>
                <w:rFonts w:hint="eastAsia"/>
                <w:color w:val="000000"/>
                <w:kern w:val="0"/>
                <w:sz w:val="18"/>
                <w:szCs w:val="18"/>
              </w:rPr>
              <w:t>亿元（含）至</w:t>
            </w:r>
            <w:r>
              <w:rPr>
                <w:color w:val="000000"/>
                <w:kern w:val="0"/>
                <w:sz w:val="18"/>
                <w:szCs w:val="18"/>
              </w:rPr>
              <w:t>1000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小型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50</w:t>
            </w:r>
            <w:r>
              <w:rPr>
                <w:rFonts w:hint="eastAsia"/>
                <w:color w:val="000000"/>
                <w:kern w:val="0"/>
                <w:sz w:val="18"/>
                <w:szCs w:val="18"/>
              </w:rPr>
              <w:t>亿元（含）至</w:t>
            </w:r>
            <w:r>
              <w:rPr>
                <w:color w:val="000000"/>
                <w:kern w:val="0"/>
                <w:sz w:val="18"/>
                <w:szCs w:val="18"/>
              </w:rPr>
              <w:t>200</w:t>
            </w:r>
            <w:r>
              <w:rPr>
                <w:rFonts w:hint="eastAsia"/>
                <w:color w:val="000000"/>
                <w:kern w:val="0"/>
                <w:sz w:val="18"/>
                <w:szCs w:val="18"/>
              </w:rPr>
              <w:t>亿元</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nil"/>
              <w:bottom w:val="single" w:color="auto" w:sz="4" w:space="0"/>
              <w:right w:val="single" w:color="auto" w:sz="4" w:space="0"/>
            </w:tcBorders>
            <w:vAlign w:val="center"/>
          </w:tcPr>
          <w:p>
            <w:pPr>
              <w:widowControl/>
              <w:jc w:val="left"/>
              <w:rPr>
                <w:color w:val="000000"/>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c>
          <w:tcPr>
            <w:tcW w:w="709" w:type="dxa"/>
            <w:tcBorders>
              <w:top w:val="nil"/>
              <w:left w:val="nil"/>
              <w:bottom w:val="single" w:color="auto" w:sz="4" w:space="0"/>
              <w:right w:val="single" w:color="auto" w:sz="4" w:space="0"/>
            </w:tcBorders>
            <w:vAlign w:val="center"/>
          </w:tcPr>
          <w:p>
            <w:pPr>
              <w:widowControl/>
              <w:jc w:val="left"/>
              <w:rPr>
                <w:color w:val="000000"/>
                <w:kern w:val="0"/>
                <w:sz w:val="18"/>
                <w:szCs w:val="18"/>
              </w:rPr>
            </w:pPr>
            <w:r>
              <w:rPr>
                <w:rFonts w:hint="eastAsia"/>
                <w:color w:val="000000"/>
                <w:kern w:val="0"/>
                <w:sz w:val="18"/>
                <w:szCs w:val="18"/>
              </w:rPr>
              <w:t>微型</w:t>
            </w:r>
          </w:p>
        </w:tc>
        <w:tc>
          <w:tcPr>
            <w:tcW w:w="2771" w:type="dxa"/>
            <w:tcBorders>
              <w:top w:val="nil"/>
              <w:left w:val="nil"/>
              <w:bottom w:val="single" w:color="auto" w:sz="4" w:space="0"/>
              <w:right w:val="nil"/>
            </w:tcBorders>
            <w:vAlign w:val="center"/>
          </w:tcPr>
          <w:p>
            <w:pPr>
              <w:widowControl/>
              <w:jc w:val="left"/>
              <w:rPr>
                <w:color w:val="000000"/>
                <w:kern w:val="0"/>
                <w:sz w:val="18"/>
                <w:szCs w:val="18"/>
              </w:rPr>
            </w:pPr>
            <w:r>
              <w:rPr>
                <w:color w:val="000000"/>
                <w:kern w:val="0"/>
                <w:sz w:val="18"/>
                <w:szCs w:val="18"/>
              </w:rPr>
              <w:t>50</w:t>
            </w:r>
            <w:r>
              <w:rPr>
                <w:rFonts w:hint="eastAsia"/>
                <w:color w:val="000000"/>
                <w:kern w:val="0"/>
                <w:sz w:val="18"/>
                <w:szCs w:val="18"/>
              </w:rPr>
              <w:t>亿元以下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02F2E"/>
    <w:rsid w:val="2E302F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rFonts w:ascii="Calibri" w:hAnsi="Calibri"/>
      <w:b/>
      <w:bCs/>
      <w:kern w:val="44"/>
      <w:sz w:val="44"/>
      <w:szCs w:val="44"/>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spacing w:after="120"/>
    </w:pPr>
    <w:rPr>
      <w:sz w:val="32"/>
      <w:szCs w:val="20"/>
    </w:rPr>
  </w:style>
  <w:style w:type="paragraph" w:styleId="4">
    <w:name w:val="Plain Text"/>
    <w:basedOn w:val="1"/>
    <w:uiPriority w:val="0"/>
    <w:rPr>
      <w:rFonts w:ascii="宋体" w:hAnsi="Courier New"/>
      <w:sz w:val="32"/>
      <w:szCs w:val="20"/>
    </w:rPr>
  </w:style>
  <w:style w:type="paragraph" w:styleId="5">
    <w:name w:val="List"/>
    <w:basedOn w:val="1"/>
    <w:uiPriority w:val="0"/>
    <w:pPr>
      <w:ind w:left="420" w:hanging="420"/>
    </w:pPr>
    <w:rPr>
      <w:sz w:val="32"/>
      <w:szCs w:val="20"/>
    </w:rPr>
  </w:style>
  <w:style w:type="paragraph" w:customStyle="1" w:styleId="8">
    <w:name w:val="正文997"/>
    <w:link w:val="10"/>
    <w:uiPriority w:val="0"/>
    <w:pPr>
      <w:widowControl w:val="0"/>
      <w:ind w:firstLine="200" w:firstLineChars="200"/>
      <w:jc w:val="both"/>
    </w:pPr>
    <w:rPr>
      <w:sz w:val="21"/>
      <w:szCs w:val="22"/>
      <w:lang w:val="en-US" w:eastAsia="zh-CN" w:bidi="ar-SA"/>
    </w:rPr>
  </w:style>
  <w:style w:type="character" w:customStyle="1" w:styleId="9">
    <w:name w:val="1 Char"/>
    <w:basedOn w:val="10"/>
    <w:link w:val="11"/>
    <w:locked/>
    <w:uiPriority w:val="0"/>
    <w:rPr>
      <w:rFonts w:ascii="宋体" w:hAnsi="宋体"/>
      <w:color w:val="000000"/>
      <w:kern w:val="2"/>
      <w:szCs w:val="21"/>
    </w:rPr>
  </w:style>
  <w:style w:type="character" w:customStyle="1" w:styleId="10">
    <w:name w:val="正文997 Char"/>
    <w:basedOn w:val="6"/>
    <w:link w:val="8"/>
    <w:locked/>
    <w:uiPriority w:val="0"/>
    <w:rPr>
      <w:sz w:val="21"/>
      <w:szCs w:val="22"/>
      <w:lang w:val="en-US" w:eastAsia="zh-CN" w:bidi="ar-SA"/>
    </w:rPr>
  </w:style>
  <w:style w:type="paragraph" w:customStyle="1" w:styleId="11">
    <w:name w:val="1"/>
    <w:basedOn w:val="8"/>
    <w:link w:val="9"/>
    <w:uiPriority w:val="0"/>
    <w:pPr>
      <w:adjustRightInd w:val="0"/>
      <w:snapToGrid w:val="0"/>
      <w:spacing w:line="400" w:lineRule="exact"/>
      <w:ind w:firstLine="422"/>
    </w:pPr>
    <w:rPr>
      <w:rFonts w:ascii="宋体" w:hAnsi="宋体"/>
      <w:color w:val="000000"/>
      <w:kern w:val="2"/>
      <w:szCs w:val="21"/>
    </w:rPr>
  </w:style>
  <w:style w:type="paragraph" w:customStyle="1" w:styleId="12">
    <w:name w:val="样式1"/>
    <w:basedOn w:val="13"/>
    <w:uiPriority w:val="0"/>
    <w:pPr>
      <w:spacing w:line="360" w:lineRule="auto"/>
      <w:ind w:firstLine="480" w:firstLineChars="200"/>
    </w:pPr>
  </w:style>
  <w:style w:type="paragraph" w:customStyle="1" w:styleId="13">
    <w:name w:val="正文993"/>
    <w:uiPriority w:val="0"/>
    <w:pPr>
      <w:widowControl w:val="0"/>
      <w:jc w:val="both"/>
    </w:pPr>
    <w:rPr>
      <w:rFonts w:ascii="仿宋_GB2312" w:eastAsia="仿宋_GB2312"/>
      <w:kern w:val="2"/>
      <w:sz w:val="24"/>
      <w:szCs w:val="24"/>
      <w:lang w:val="en-US" w:eastAsia="zh-CN" w:bidi="ar-SA"/>
    </w:rPr>
  </w:style>
  <w:style w:type="paragraph" w:customStyle="1" w:styleId="14">
    <w:name w:val="xl76"/>
    <w:basedOn w:val="13"/>
    <w:uiPriority w:val="0"/>
    <w:pPr>
      <w:widowControl/>
      <w:pBdr>
        <w:bottom w:val="single" w:color="auto" w:sz="4" w:space="0"/>
      </w:pBdr>
      <w:spacing w:before="100" w:beforeAutospacing="1" w:after="100" w:afterAutospacing="1"/>
      <w:jc w:val="center"/>
    </w:pPr>
    <w:rPr>
      <w:rFonts w:ascii="宋体" w:hAnsi="宋体" w:eastAsia="宋体" w:cs="Arial Unicode MS"/>
      <w:kern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2019-04-29T00:53:00Z</dcterms:created>
  <dc:creator>叶苑道</dc:creator>
  <cp:lastModifiedBy>叶苑道</cp:lastModifiedBy>
  <dcterms:modified xsi:type="dcterms:W3CDTF">2019-04-29T00:55:08Z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