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r>
        <w:rPr>
          <w:rFonts w:hint="eastAsia" w:ascii="仿宋" w:hAnsi="仿宋" w:eastAsia="仿宋"/>
          <w:sz w:val="32"/>
          <w:szCs w:val="32"/>
          <w:u w:val="single"/>
        </w:rPr>
        <w:t>劳务派遣行政许可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" w:hAnsi="仿宋" w:eastAsia="仿宋"/>
          <w:sz w:val="32"/>
          <w:szCs w:val="32"/>
          <w:u w:val="single"/>
        </w:rPr>
        <w:t>经营场所的使用证明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经营场所的使用证明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劳务派遣行政许可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（三）设定证明的依据</w:t>
      </w:r>
    </w:p>
    <w:p>
      <w:pPr>
        <w:ind w:firstLine="640" w:firstLineChars="200"/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sz w:val="32"/>
          <w:szCs w:val="32"/>
        </w:rPr>
        <w:t>《劳务派遣行政许可实施办法》第七条申请经营劳务派遣业务应当具备下列条件：（二）有与开展业务相适应的固定的经营场所和设施</w:t>
      </w:r>
      <w:r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（四）证明的内容</w:t>
      </w:r>
    </w:p>
    <w:p>
      <w:pPr>
        <w:pStyle w:val="4"/>
        <w:spacing w:line="560" w:lineRule="exact"/>
        <w:ind w:firstLine="480" w:firstLineChars="150"/>
        <w:rPr>
          <w:rStyle w:val="8"/>
          <w:rFonts w:ascii="仿宋" w:hAnsi="仿宋" w:eastAsia="仿宋"/>
          <w:b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026"/>
        <w:gridCol w:w="1335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单位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地址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房屋面积（㎡）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房屋</w:t>
            </w:r>
          </w:p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所有权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ind w:firstLine="120" w:firstLineChars="50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出租方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承租方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19" w:type="dxa"/>
            <w:vAlign w:val="center"/>
          </w:tcPr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使用</w:t>
            </w:r>
          </w:p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期限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</w:tbl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证明事项告知承诺失信行为信息纳入安徽省公共信用信息目录，对执意隐瞒真实情况、提供虚假承诺办理有关事项的，依法吊销其《劳务派遣经营许可证》。</w:t>
      </w: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ind w:firstLine="640" w:firstLineChars="200"/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sz w:val="32"/>
          <w:szCs w:val="32"/>
        </w:rPr>
        <w:t>经营场所证明属实</w:t>
      </w:r>
      <w:r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2C323AA"/>
    <w:rsid w:val="0B6C5CDC"/>
    <w:rsid w:val="43BA4C15"/>
    <w:rsid w:val="47E0601B"/>
    <w:rsid w:val="507A432D"/>
    <w:rsid w:val="5A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2021-02-20T08:39:17Z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